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s="黑体"/>
          <w:b/>
          <w:sz w:val="32"/>
          <w:szCs w:val="32"/>
        </w:rPr>
      </w:pPr>
      <w:bookmarkStart w:id="9" w:name="_GoBack"/>
      <w:bookmarkEnd w:id="9"/>
      <w:r>
        <w:rPr>
          <w:rFonts w:hint="eastAsia" w:ascii="黑体" w:hAnsi="黑体" w:eastAsia="黑体" w:cs="黑体"/>
          <w:b/>
          <w:sz w:val="32"/>
          <w:szCs w:val="32"/>
        </w:rPr>
        <w:t>动力事业部</w:t>
      </w:r>
      <w:r>
        <w:rPr>
          <w:rFonts w:hint="eastAsia" w:ascii="黑体" w:hAnsi="黑体" w:eastAsia="黑体" w:cs="黑体"/>
          <w:b/>
          <w:sz w:val="32"/>
          <w:szCs w:val="32"/>
          <w:lang w:eastAsia="zh-CN"/>
        </w:rPr>
        <w:t>高炉</w:t>
      </w:r>
      <w:r>
        <w:rPr>
          <w:rFonts w:hint="eastAsia" w:ascii="黑体" w:hAnsi="黑体" w:eastAsia="黑体" w:cs="黑体"/>
          <w:b/>
          <w:sz w:val="32"/>
          <w:szCs w:val="32"/>
        </w:rPr>
        <w:t>煤气管道包覆项目技术协议</w:t>
      </w:r>
    </w:p>
    <w:p>
      <w:pPr>
        <w:spacing w:line="440" w:lineRule="exact"/>
        <w:ind w:firstLine="2249" w:firstLineChars="700"/>
        <w:rPr>
          <w:rFonts w:ascii="黑体" w:hAnsi="黑体" w:eastAsia="黑体" w:cs="黑体"/>
          <w:b/>
          <w:sz w:val="32"/>
          <w:szCs w:val="32"/>
        </w:rPr>
      </w:pPr>
    </w:p>
    <w:p>
      <w:pPr>
        <w:ind w:firstLine="480"/>
        <w:rPr>
          <w:rFonts w:ascii="宋体" w:hAnsi="宋体" w:cs="宋体"/>
          <w:sz w:val="28"/>
          <w:szCs w:val="28"/>
          <w:u w:val="single"/>
        </w:rPr>
      </w:pPr>
      <w:r>
        <w:rPr>
          <w:rFonts w:hint="eastAsia" w:ascii="宋体" w:hAnsi="宋体" w:cs="宋体"/>
          <w:sz w:val="28"/>
          <w:szCs w:val="28"/>
          <w:u w:val="single"/>
        </w:rPr>
        <w:t>甲方：青岛特殊钢铁有限公司</w:t>
      </w:r>
    </w:p>
    <w:p>
      <w:pPr>
        <w:ind w:firstLine="480"/>
        <w:rPr>
          <w:rFonts w:ascii="宋体" w:hAnsi="宋体" w:cs="宋体"/>
          <w:sz w:val="28"/>
          <w:szCs w:val="28"/>
          <w:u w:val="single"/>
        </w:rPr>
      </w:pPr>
      <w:r>
        <w:rPr>
          <w:rFonts w:hint="eastAsia" w:ascii="宋体" w:hAnsi="宋体" w:cs="宋体"/>
          <w:sz w:val="28"/>
          <w:szCs w:val="28"/>
          <w:u w:val="single"/>
        </w:rPr>
        <w:t>法定代表人：</w:t>
      </w:r>
    </w:p>
    <w:p>
      <w:pPr>
        <w:ind w:firstLine="480"/>
        <w:rPr>
          <w:rFonts w:ascii="宋体" w:hAnsi="宋体" w:cs="宋体"/>
          <w:sz w:val="28"/>
          <w:szCs w:val="28"/>
          <w:u w:val="single"/>
        </w:rPr>
      </w:pPr>
      <w:r>
        <w:rPr>
          <w:rFonts w:hint="eastAsia" w:ascii="宋体" w:hAnsi="宋体" w:cs="宋体"/>
          <w:sz w:val="28"/>
          <w:szCs w:val="28"/>
          <w:u w:val="single"/>
        </w:rPr>
        <w:t>住所地：山东省青岛市黄岛区泊里镇集成路1886号</w:t>
      </w:r>
    </w:p>
    <w:p>
      <w:pPr>
        <w:ind w:firstLine="480"/>
        <w:rPr>
          <w:rFonts w:ascii="宋体" w:hAnsi="宋体" w:cs="宋体"/>
          <w:sz w:val="28"/>
          <w:szCs w:val="28"/>
          <w:u w:val="single"/>
        </w:rPr>
      </w:pPr>
      <w:r>
        <w:rPr>
          <w:rFonts w:hint="eastAsia" w:ascii="宋体" w:hAnsi="宋体" w:cs="宋体"/>
          <w:sz w:val="28"/>
          <w:szCs w:val="28"/>
          <w:u w:val="single"/>
        </w:rPr>
        <w:t>乙方（全称）：</w:t>
      </w:r>
    </w:p>
    <w:p>
      <w:pPr>
        <w:ind w:firstLine="480"/>
        <w:rPr>
          <w:rFonts w:ascii="宋体" w:hAnsi="宋体" w:cs="宋体"/>
          <w:sz w:val="28"/>
          <w:szCs w:val="28"/>
          <w:u w:val="single"/>
        </w:rPr>
      </w:pPr>
      <w:r>
        <w:rPr>
          <w:rFonts w:hint="eastAsia" w:ascii="宋体" w:hAnsi="宋体" w:cs="宋体"/>
          <w:sz w:val="28"/>
          <w:szCs w:val="28"/>
          <w:u w:val="single"/>
        </w:rPr>
        <w:t>法定代表人：</w:t>
      </w:r>
    </w:p>
    <w:p>
      <w:pPr>
        <w:ind w:firstLine="480"/>
        <w:rPr>
          <w:rFonts w:ascii="宋体" w:hAnsi="宋体" w:cs="宋体"/>
          <w:sz w:val="28"/>
          <w:szCs w:val="28"/>
          <w:u w:val="single"/>
        </w:rPr>
      </w:pPr>
      <w:r>
        <w:rPr>
          <w:rFonts w:hint="eastAsia" w:ascii="宋体" w:hAnsi="宋体" w:cs="宋体"/>
          <w:sz w:val="28"/>
          <w:szCs w:val="28"/>
          <w:u w:val="single"/>
        </w:rPr>
        <w:t>住所地:</w:t>
      </w:r>
    </w:p>
    <w:p>
      <w:pPr>
        <w:ind w:firstLine="560" w:firstLineChars="200"/>
        <w:rPr>
          <w:rFonts w:ascii="宋体" w:hAnsi="宋体" w:cs="宋体"/>
          <w:sz w:val="28"/>
          <w:szCs w:val="28"/>
        </w:rPr>
      </w:pPr>
      <w:r>
        <w:rPr>
          <w:rFonts w:hint="eastAsia" w:ascii="宋体" w:hAnsi="宋体" w:cs="宋体"/>
          <w:sz w:val="28"/>
          <w:szCs w:val="28"/>
        </w:rPr>
        <w:t>甲乙双方就动力事业部</w:t>
      </w:r>
      <w:r>
        <w:rPr>
          <w:rFonts w:hint="eastAsia" w:ascii="宋体" w:hAnsi="宋体" w:cs="宋体"/>
          <w:sz w:val="28"/>
          <w:szCs w:val="28"/>
          <w:lang w:eastAsia="zh-CN"/>
        </w:rPr>
        <w:t>高炉</w:t>
      </w:r>
      <w:r>
        <w:rPr>
          <w:rFonts w:hint="eastAsia" w:ascii="宋体" w:hAnsi="宋体" w:cs="宋体"/>
          <w:sz w:val="28"/>
          <w:szCs w:val="28"/>
        </w:rPr>
        <w:t>煤气管道包覆项目（以下简称：本工程）的技术要求、质量要求、施工要求、施工工期等事宜进行认真讨论，经友好协商，取得一致意见，达成如下协议条款：</w:t>
      </w:r>
    </w:p>
    <w:p>
      <w:pPr>
        <w:jc w:val="left"/>
        <w:rPr>
          <w:rFonts w:ascii="宋体" w:hAnsi="宋体" w:cs="宋体"/>
          <w:b/>
          <w:sz w:val="28"/>
          <w:szCs w:val="28"/>
        </w:rPr>
      </w:pPr>
      <w:r>
        <w:rPr>
          <w:rFonts w:hint="eastAsia" w:ascii="宋体" w:hAnsi="宋体" w:cs="宋体"/>
          <w:b/>
          <w:sz w:val="28"/>
          <w:szCs w:val="28"/>
        </w:rPr>
        <w:t>一、项目概况</w:t>
      </w:r>
    </w:p>
    <w:p>
      <w:pPr>
        <w:tabs>
          <w:tab w:val="left" w:pos="900"/>
        </w:tabs>
        <w:ind w:firstLine="562" w:firstLineChars="200"/>
        <w:rPr>
          <w:rFonts w:ascii="宋体" w:hAnsi="宋体" w:cs="宋体"/>
          <w:b/>
          <w:bCs/>
          <w:kern w:val="0"/>
          <w:sz w:val="28"/>
          <w:szCs w:val="28"/>
        </w:rPr>
      </w:pPr>
      <w:bookmarkStart w:id="0" w:name="_Toc499711417"/>
      <w:r>
        <w:rPr>
          <w:rFonts w:hint="eastAsia" w:ascii="宋体" w:hAnsi="宋体" w:cs="宋体"/>
          <w:b/>
          <w:bCs/>
          <w:kern w:val="0"/>
          <w:sz w:val="28"/>
          <w:szCs w:val="28"/>
        </w:rPr>
        <w:t>项目名称：动力事业部</w:t>
      </w:r>
      <w:r>
        <w:rPr>
          <w:rFonts w:hint="eastAsia" w:ascii="宋体" w:hAnsi="宋体" w:cs="宋体"/>
          <w:b/>
          <w:bCs/>
          <w:kern w:val="0"/>
          <w:sz w:val="28"/>
          <w:szCs w:val="28"/>
          <w:lang w:eastAsia="zh-CN"/>
        </w:rPr>
        <w:t>高炉</w:t>
      </w:r>
      <w:r>
        <w:rPr>
          <w:rFonts w:hint="eastAsia" w:ascii="宋体" w:hAnsi="宋体" w:cs="宋体"/>
          <w:b/>
          <w:bCs/>
          <w:kern w:val="0"/>
          <w:sz w:val="28"/>
          <w:szCs w:val="28"/>
        </w:rPr>
        <w:t>煤气管道包覆项目</w:t>
      </w:r>
    </w:p>
    <w:p>
      <w:pPr>
        <w:tabs>
          <w:tab w:val="left" w:pos="900"/>
        </w:tabs>
        <w:ind w:firstLine="562" w:firstLineChars="200"/>
        <w:rPr>
          <w:rFonts w:ascii="宋体" w:hAnsi="宋体" w:cs="宋体"/>
          <w:kern w:val="0"/>
          <w:sz w:val="28"/>
          <w:szCs w:val="28"/>
        </w:rPr>
      </w:pPr>
      <w:r>
        <w:rPr>
          <w:rFonts w:hint="eastAsia" w:ascii="宋体" w:hAnsi="宋体" w:cs="宋体"/>
          <w:b/>
          <w:bCs/>
          <w:kern w:val="0"/>
          <w:sz w:val="28"/>
          <w:szCs w:val="28"/>
        </w:rPr>
        <w:t>工程地点</w:t>
      </w:r>
      <w:r>
        <w:rPr>
          <w:rFonts w:hint="eastAsia" w:ascii="宋体" w:hAnsi="宋体" w:cs="宋体"/>
          <w:kern w:val="0"/>
          <w:sz w:val="28"/>
          <w:szCs w:val="28"/>
        </w:rPr>
        <w:t>：山东省青岛市黄岛区泊里镇集成路1886号</w:t>
      </w:r>
    </w:p>
    <w:p>
      <w:pPr>
        <w:ind w:firstLine="562" w:firstLineChars="200"/>
        <w:rPr>
          <w:rFonts w:ascii="宋体" w:hAnsi="宋体" w:cs="宋体"/>
          <w:b/>
          <w:bCs/>
          <w:kern w:val="0"/>
          <w:sz w:val="28"/>
          <w:szCs w:val="28"/>
        </w:rPr>
      </w:pPr>
      <w:r>
        <w:rPr>
          <w:rFonts w:hint="eastAsia" w:ascii="宋体" w:hAnsi="宋体" w:cs="宋体"/>
          <w:b/>
          <w:bCs/>
          <w:kern w:val="0"/>
          <w:sz w:val="28"/>
          <w:szCs w:val="28"/>
        </w:rPr>
        <w:t>承包范围：</w:t>
      </w:r>
    </w:p>
    <w:p>
      <w:pPr>
        <w:numPr>
          <w:ilvl w:val="0"/>
          <w:numId w:val="2"/>
        </w:numPr>
        <w:ind w:firstLine="560" w:firstLineChars="200"/>
        <w:rPr>
          <w:rFonts w:ascii="宋体" w:hAnsi="宋体" w:cs="宋体"/>
          <w:sz w:val="28"/>
          <w:szCs w:val="28"/>
        </w:rPr>
      </w:pPr>
      <w:r>
        <w:rPr>
          <w:rFonts w:hint="eastAsia" w:ascii="宋体" w:hAnsi="宋体" w:cs="宋体"/>
          <w:sz w:val="28"/>
          <w:szCs w:val="28"/>
        </w:rPr>
        <w:t>纬二路煤气柜出口DN3000变径至DN2600高炉煤气管道处向东至补偿器位置，包覆长度10米，包覆方式全幅包覆。</w:t>
      </w:r>
    </w:p>
    <w:p>
      <w:pPr>
        <w:numPr>
          <w:ilvl w:val="0"/>
          <w:numId w:val="2"/>
        </w:numPr>
        <w:ind w:firstLine="560" w:firstLineChars="200"/>
        <w:rPr>
          <w:rFonts w:ascii="宋体" w:hAnsi="宋体" w:cs="宋体"/>
          <w:sz w:val="28"/>
          <w:szCs w:val="28"/>
        </w:rPr>
      </w:pPr>
      <w:r>
        <w:rPr>
          <w:rFonts w:hint="eastAsia" w:ascii="宋体" w:hAnsi="宋体" w:cs="宋体"/>
          <w:sz w:val="28"/>
          <w:szCs w:val="28"/>
        </w:rPr>
        <w:t>经四路145支架处DN1600高炉煤气流量计，包覆长度1.7米，包覆方式全幅包覆。</w:t>
      </w:r>
    </w:p>
    <w:p>
      <w:pPr>
        <w:numPr>
          <w:ilvl w:val="0"/>
          <w:numId w:val="2"/>
        </w:numPr>
        <w:ind w:firstLine="560"/>
        <w:rPr>
          <w:rFonts w:ascii="宋体" w:hAnsi="宋体" w:cs="宋体"/>
          <w:sz w:val="28"/>
          <w:szCs w:val="28"/>
        </w:rPr>
      </w:pPr>
      <w:r>
        <w:rPr>
          <w:rFonts w:hint="eastAsia" w:ascii="宋体" w:hAnsi="宋体" w:cs="宋体"/>
          <w:sz w:val="28"/>
          <w:szCs w:val="28"/>
        </w:rPr>
        <w:t>经四纬二路口G16排水器顶部弯头处DN3800管道</w:t>
      </w:r>
      <w:r>
        <w:rPr>
          <w:rFonts w:hint="eastAsia" w:ascii="宋体" w:hAnsi="宋体" w:cs="宋体"/>
          <w:sz w:val="28"/>
          <w:szCs w:val="28"/>
          <w:lang w:eastAsia="zh-CN"/>
        </w:rPr>
        <w:t>至三通处</w:t>
      </w:r>
      <w:r>
        <w:rPr>
          <w:rFonts w:hint="eastAsia" w:ascii="宋体" w:hAnsi="宋体" w:cs="宋体"/>
          <w:sz w:val="28"/>
          <w:szCs w:val="28"/>
        </w:rPr>
        <w:t>，包覆长度7米，包覆方式顶部半幅包覆，包覆至现有包覆板处，本次包覆板需搭接在现有包覆板上50mm。</w:t>
      </w:r>
    </w:p>
    <w:p>
      <w:pPr>
        <w:numPr>
          <w:ilvl w:val="0"/>
          <w:numId w:val="2"/>
        </w:numPr>
        <w:ind w:firstLine="560" w:firstLineChars="200"/>
        <w:rPr>
          <w:rFonts w:ascii="宋体" w:hAnsi="宋体" w:cs="宋体"/>
          <w:sz w:val="28"/>
          <w:szCs w:val="28"/>
        </w:rPr>
      </w:pPr>
      <w:r>
        <w:rPr>
          <w:rFonts w:hint="eastAsia" w:ascii="宋体" w:hAnsi="宋体" w:cs="宋体"/>
          <w:sz w:val="28"/>
          <w:szCs w:val="28"/>
        </w:rPr>
        <w:t>纬二路052支架向西2米</w:t>
      </w:r>
      <w:r>
        <w:rPr>
          <w:rFonts w:hint="eastAsia" w:ascii="宋体" w:hAnsi="宋体" w:cs="宋体"/>
          <w:sz w:val="28"/>
          <w:szCs w:val="28"/>
          <w:lang w:eastAsia="zh-CN"/>
        </w:rPr>
        <w:t>、</w:t>
      </w:r>
      <w:r>
        <w:rPr>
          <w:rFonts w:hint="eastAsia" w:ascii="宋体" w:hAnsi="宋体" w:cs="宋体"/>
          <w:sz w:val="28"/>
          <w:szCs w:val="28"/>
        </w:rPr>
        <w:t>向东20米DN3200高炉煤气管道，包覆长度22米</w:t>
      </w:r>
      <w:r>
        <w:rPr>
          <w:rFonts w:hint="eastAsia" w:ascii="宋体" w:hAnsi="宋体" w:cs="宋体"/>
          <w:sz w:val="28"/>
          <w:szCs w:val="28"/>
          <w:lang w:eastAsia="zh-CN"/>
        </w:rPr>
        <w:t>；</w:t>
      </w:r>
      <w:r>
        <w:rPr>
          <w:rFonts w:hint="eastAsia" w:ascii="宋体" w:hAnsi="宋体" w:cs="宋体"/>
          <w:sz w:val="28"/>
          <w:szCs w:val="28"/>
          <w:lang w:val="en-US" w:eastAsia="zh-CN"/>
        </w:rPr>
        <w:t>DN3200变径为DN3800位置向东至050支架，包覆长度20米；以上2处</w:t>
      </w:r>
      <w:r>
        <w:rPr>
          <w:rFonts w:hint="eastAsia" w:ascii="宋体" w:hAnsi="宋体" w:cs="宋体"/>
          <w:sz w:val="28"/>
          <w:szCs w:val="28"/>
        </w:rPr>
        <w:t>包覆方式</w:t>
      </w:r>
      <w:r>
        <w:rPr>
          <w:rFonts w:hint="eastAsia" w:ascii="宋体" w:hAnsi="宋体" w:cs="宋体"/>
          <w:sz w:val="28"/>
          <w:szCs w:val="28"/>
          <w:lang w:eastAsia="zh-CN"/>
        </w:rPr>
        <w:t>均为</w:t>
      </w:r>
      <w:r>
        <w:rPr>
          <w:rFonts w:hint="eastAsia" w:ascii="宋体" w:hAnsi="宋体" w:cs="宋体"/>
          <w:sz w:val="28"/>
          <w:szCs w:val="28"/>
        </w:rPr>
        <w:t>顶部包覆，包覆至现有包覆板处，本次包覆板需搭接在现有包覆板上50mm。</w:t>
      </w:r>
    </w:p>
    <w:p>
      <w:pPr>
        <w:numPr>
          <w:ilvl w:val="0"/>
          <w:numId w:val="2"/>
        </w:numPr>
        <w:ind w:firstLine="560" w:firstLineChars="200"/>
        <w:rPr>
          <w:rFonts w:ascii="宋体" w:hAnsi="宋体" w:cs="宋体"/>
          <w:sz w:val="28"/>
          <w:szCs w:val="28"/>
        </w:rPr>
      </w:pPr>
      <w:r>
        <w:rPr>
          <w:rFonts w:hint="eastAsia" w:ascii="宋体" w:hAnsi="宋体" w:cs="宋体"/>
          <w:sz w:val="28"/>
          <w:szCs w:val="28"/>
        </w:rPr>
        <w:t>纬三路主管网通3#热风炉DN1800高炉煤气管道6米，以及DN2800三通处南北共6米，包覆方式全幅包覆。</w:t>
      </w:r>
    </w:p>
    <w:p>
      <w:pPr>
        <w:numPr>
          <w:ilvl w:val="0"/>
          <w:numId w:val="2"/>
        </w:numPr>
        <w:ind w:firstLine="560" w:firstLineChars="200"/>
        <w:rPr>
          <w:rFonts w:ascii="宋体" w:hAnsi="宋体" w:cs="宋体"/>
          <w:sz w:val="28"/>
          <w:szCs w:val="28"/>
        </w:rPr>
      </w:pPr>
      <w:r>
        <w:rPr>
          <w:rFonts w:hint="eastAsia" w:ascii="宋体" w:hAnsi="宋体" w:cs="宋体"/>
          <w:sz w:val="28"/>
          <w:szCs w:val="28"/>
        </w:rPr>
        <w:t>炼铁3#高炉出口蝶阀向东DN2800高炉煤气管道弯头加垂直管段8米全幅包覆，直管段至三通处9米底部半幅包覆，三通处东西向直管8米底部半幅包覆。</w:t>
      </w:r>
    </w:p>
    <w:p>
      <w:pPr>
        <w:numPr>
          <w:ilvl w:val="0"/>
          <w:numId w:val="2"/>
        </w:numPr>
        <w:ind w:firstLine="560" w:firstLineChars="200"/>
        <w:rPr>
          <w:rFonts w:ascii="宋体" w:hAnsi="宋体" w:cs="宋体"/>
          <w:sz w:val="28"/>
          <w:szCs w:val="28"/>
        </w:rPr>
      </w:pPr>
      <w:r>
        <w:rPr>
          <w:rFonts w:hint="eastAsia" w:ascii="宋体" w:hAnsi="宋体" w:cs="宋体"/>
          <w:sz w:val="28"/>
          <w:szCs w:val="28"/>
        </w:rPr>
        <w:t>炼铁1#高炉出口DN2600蝶阀后管道至南北向DN3800管道三通处：DN2600管道2.6米，包覆方式为全幅包覆，以及南北向DN3800三通6米，包覆方式全包覆。</w:t>
      </w:r>
    </w:p>
    <w:p>
      <w:pPr>
        <w:numPr>
          <w:ilvl w:val="0"/>
          <w:numId w:val="2"/>
        </w:numPr>
        <w:ind w:firstLine="560" w:firstLineChars="200"/>
        <w:rPr>
          <w:rFonts w:ascii="宋体" w:hAnsi="宋体" w:cs="宋体"/>
          <w:sz w:val="28"/>
          <w:szCs w:val="28"/>
        </w:rPr>
      </w:pPr>
      <w:r>
        <w:rPr>
          <w:rFonts w:hint="eastAsia" w:ascii="宋体" w:hAnsi="宋体" w:cs="宋体"/>
          <w:sz w:val="28"/>
          <w:szCs w:val="28"/>
        </w:rPr>
        <w:t>炼铁1号热风炉入口管道与南北向DN3400管道三通处：DN1800管道10米，包覆方式为全幅包覆，以及南北向DN3400三通6米，包覆方式全包覆。</w:t>
      </w:r>
    </w:p>
    <w:p>
      <w:pPr>
        <w:numPr>
          <w:ilvl w:val="0"/>
          <w:numId w:val="2"/>
        </w:numPr>
        <w:ind w:firstLine="560" w:firstLineChars="200"/>
        <w:rPr>
          <w:rFonts w:ascii="宋体" w:hAnsi="宋体" w:cs="宋体"/>
          <w:sz w:val="28"/>
          <w:szCs w:val="28"/>
        </w:rPr>
      </w:pPr>
      <w:r>
        <w:rPr>
          <w:rFonts w:hint="eastAsia" w:ascii="宋体" w:hAnsi="宋体" w:cs="宋体"/>
          <w:sz w:val="28"/>
          <w:szCs w:val="28"/>
        </w:rPr>
        <w:t>炼铁2号热风炉入口管道至蝶阀前：DN2000管道2.5米，包覆方式为全幅包覆。</w:t>
      </w:r>
    </w:p>
    <w:p>
      <w:pPr>
        <w:ind w:firstLine="562" w:firstLineChars="200"/>
        <w:rPr>
          <w:rFonts w:ascii="宋体" w:hAnsi="宋体" w:cs="宋体"/>
          <w:sz w:val="28"/>
          <w:szCs w:val="28"/>
        </w:rPr>
      </w:pPr>
      <w:r>
        <w:rPr>
          <w:rFonts w:hint="eastAsia" w:ascii="宋体" w:hAnsi="宋体" w:cs="宋体"/>
          <w:b/>
          <w:bCs/>
          <w:sz w:val="28"/>
          <w:szCs w:val="28"/>
        </w:rPr>
        <w:t>职责划分</w:t>
      </w:r>
      <w:r>
        <w:rPr>
          <w:rFonts w:hint="eastAsia" w:ascii="宋体" w:hAnsi="宋体" w:cs="宋体"/>
          <w:sz w:val="28"/>
          <w:szCs w:val="28"/>
        </w:rPr>
        <w:t>：</w:t>
      </w:r>
    </w:p>
    <w:p>
      <w:pPr>
        <w:pStyle w:val="6"/>
        <w:shd w:val="clear" w:color="auto" w:fill="FFFFFF"/>
        <w:snapToGrid w:val="0"/>
        <w:spacing w:before="150" w:after="150" w:line="360" w:lineRule="auto"/>
        <w:ind w:firstLine="560" w:firstLineChars="200"/>
        <w:rPr>
          <w:rFonts w:cs="宋体"/>
          <w:sz w:val="28"/>
          <w:szCs w:val="28"/>
        </w:rPr>
      </w:pPr>
      <w:r>
        <w:rPr>
          <w:rFonts w:hint="eastAsia" w:cs="宋体"/>
          <w:sz w:val="28"/>
          <w:szCs w:val="28"/>
        </w:rPr>
        <w:t>甲方只负责提供承包范围施工所需的耐酸钢板（8mm厚）。其余完成本项目所需的所有材料、焊条、工器具、车辆以及施工所使用的脚手架</w:t>
      </w:r>
      <w:r>
        <w:rPr>
          <w:rFonts w:hint="eastAsia" w:cs="宋体"/>
          <w:bCs/>
          <w:kern w:val="2"/>
          <w:sz w:val="28"/>
          <w:szCs w:val="28"/>
        </w:rPr>
        <w:t>搭建、物料倒运、下料、卷板、安装及检漏，防腐刷漆</w:t>
      </w:r>
      <w:r>
        <w:rPr>
          <w:rFonts w:hint="eastAsia" w:cs="宋体"/>
          <w:sz w:val="28"/>
          <w:szCs w:val="28"/>
        </w:rPr>
        <w:t>等均由乙方负责。</w:t>
      </w:r>
    </w:p>
    <w:p>
      <w:pPr>
        <w:ind w:firstLine="562" w:firstLineChars="200"/>
        <w:rPr>
          <w:rFonts w:ascii="宋体" w:hAnsi="宋体" w:cs="宋体"/>
          <w:sz w:val="28"/>
          <w:szCs w:val="28"/>
        </w:rPr>
      </w:pPr>
      <w:r>
        <w:rPr>
          <w:rFonts w:hint="eastAsia" w:ascii="宋体" w:hAnsi="宋体" w:cs="宋体"/>
          <w:b/>
          <w:bCs/>
          <w:sz w:val="28"/>
          <w:szCs w:val="28"/>
        </w:rPr>
        <w:t>工期要求</w:t>
      </w:r>
      <w:r>
        <w:rPr>
          <w:rFonts w:hint="eastAsia" w:ascii="宋体" w:hAnsi="宋体" w:cs="宋体"/>
          <w:sz w:val="28"/>
          <w:szCs w:val="28"/>
        </w:rPr>
        <w:t>：</w:t>
      </w:r>
    </w:p>
    <w:p>
      <w:pPr>
        <w:ind w:firstLine="560" w:firstLineChars="200"/>
        <w:rPr>
          <w:rFonts w:ascii="宋体" w:hAnsi="宋体" w:cs="宋体"/>
          <w:b/>
          <w:bCs/>
          <w:kern w:val="0"/>
          <w:sz w:val="28"/>
          <w:szCs w:val="28"/>
        </w:rPr>
      </w:pPr>
      <w:r>
        <w:rPr>
          <w:rFonts w:hint="eastAsia" w:ascii="宋体" w:hAnsi="宋体" w:cs="宋体"/>
          <w:sz w:val="28"/>
        </w:rPr>
        <w:t>主体工程总日历工期为</w:t>
      </w:r>
      <w:r>
        <w:rPr>
          <w:rFonts w:hint="eastAsia" w:ascii="宋体" w:hAnsi="宋体" w:cs="宋体"/>
          <w:sz w:val="28"/>
          <w:u w:val="single"/>
        </w:rPr>
        <w:t>60</w:t>
      </w:r>
      <w:r>
        <w:rPr>
          <w:rFonts w:hint="eastAsia" w:ascii="宋体" w:hAnsi="宋体" w:cs="宋体"/>
          <w:sz w:val="28"/>
        </w:rPr>
        <w:t>日历天</w:t>
      </w:r>
      <w:bookmarkEnd w:id="0"/>
      <w:r>
        <w:rPr>
          <w:rFonts w:hint="eastAsia" w:ascii="宋体" w:hAnsi="宋体" w:cs="宋体"/>
          <w:sz w:val="28"/>
        </w:rPr>
        <w:t>，具体开工日期以甲方通知为准。</w:t>
      </w:r>
    </w:p>
    <w:p>
      <w:pPr>
        <w:numPr>
          <w:ilvl w:val="0"/>
          <w:numId w:val="3"/>
        </w:numPr>
        <w:rPr>
          <w:rFonts w:ascii="宋体" w:hAnsi="宋体" w:cs="宋体"/>
          <w:b/>
          <w:kern w:val="0"/>
          <w:sz w:val="28"/>
          <w:szCs w:val="28"/>
        </w:rPr>
      </w:pPr>
      <w:r>
        <w:rPr>
          <w:rFonts w:hint="eastAsia" w:ascii="宋体" w:hAnsi="宋体" w:cs="宋体"/>
          <w:b/>
          <w:kern w:val="0"/>
          <w:sz w:val="28"/>
          <w:szCs w:val="28"/>
        </w:rPr>
        <w:t>技术要求</w:t>
      </w:r>
    </w:p>
    <w:p>
      <w:pPr>
        <w:numPr>
          <w:ilvl w:val="0"/>
          <w:numId w:val="4"/>
        </w:numPr>
        <w:adjustRightInd w:val="0"/>
        <w:snapToGrid w:val="0"/>
        <w:ind w:firstLine="280" w:firstLineChars="100"/>
        <w:rPr>
          <w:rFonts w:ascii="宋体" w:hAnsi="宋体" w:cs="宋体"/>
          <w:kern w:val="0"/>
          <w:sz w:val="28"/>
          <w:szCs w:val="28"/>
        </w:rPr>
      </w:pPr>
      <w:r>
        <w:rPr>
          <w:rFonts w:hint="eastAsia" w:ascii="宋体" w:hAnsi="宋体" w:cs="宋体"/>
          <w:kern w:val="0"/>
          <w:sz w:val="28"/>
          <w:szCs w:val="28"/>
        </w:rPr>
        <w:t>规范要求</w:t>
      </w:r>
    </w:p>
    <w:p>
      <w:pPr>
        <w:numPr>
          <w:ilvl w:val="0"/>
          <w:numId w:val="5"/>
        </w:numPr>
        <w:suppressAutoHyphens/>
        <w:ind w:left="357"/>
        <w:rPr>
          <w:rFonts w:ascii="宋体" w:hAnsi="宋体" w:cs="宋体"/>
          <w:sz w:val="28"/>
          <w:szCs w:val="28"/>
        </w:rPr>
      </w:pPr>
      <w:bookmarkStart w:id="1" w:name="_Toc490725227"/>
      <w:r>
        <w:rPr>
          <w:rFonts w:hint="eastAsia" w:ascii="宋体" w:hAnsi="宋体" w:cs="宋体"/>
          <w:sz w:val="28"/>
          <w:szCs w:val="28"/>
        </w:rPr>
        <w:t>依据《工业安装工程施工质量验收统一标准》（GB50252-2010）、《工业设备、管道防腐蚀工程施工及验收规范》（GB50717-2011）及相关规定、《工业金属管道工程施工质量验收规范》（GB50184-2011）、《涂装前钢材表面锈蚀等级和除锈等级》 (GB/T8923-1988)。如相关施工及验收规范、质量检验评定标准推行最新版本，则按最新版本为准。</w:t>
      </w:r>
    </w:p>
    <w:p>
      <w:pPr>
        <w:suppressAutoHyphens/>
        <w:ind w:left="357"/>
        <w:rPr>
          <w:rFonts w:ascii="宋体" w:hAnsi="宋体" w:cs="宋体"/>
          <w:sz w:val="28"/>
          <w:szCs w:val="28"/>
        </w:rPr>
      </w:pPr>
      <w:r>
        <w:rPr>
          <w:rFonts w:hint="eastAsia" w:ascii="宋体" w:hAnsi="宋体" w:cs="宋体"/>
          <w:sz w:val="28"/>
          <w:szCs w:val="28"/>
        </w:rPr>
        <w:t>2. 行业技术规程、验评标准；</w:t>
      </w:r>
    </w:p>
    <w:p>
      <w:pPr>
        <w:suppressAutoHyphens/>
        <w:ind w:left="357"/>
        <w:rPr>
          <w:rFonts w:ascii="宋体" w:hAnsi="宋体" w:cs="宋体"/>
          <w:sz w:val="28"/>
          <w:szCs w:val="28"/>
        </w:rPr>
      </w:pPr>
      <w:r>
        <w:rPr>
          <w:rFonts w:hint="eastAsia" w:ascii="宋体" w:hAnsi="宋体" w:cs="宋体"/>
          <w:sz w:val="28"/>
          <w:szCs w:val="28"/>
        </w:rPr>
        <w:t>3. 其他技术要求和本工程施工图纸及其它与本工程有关的现行工程技术、质量评定标准、施工验收标准及规范。</w:t>
      </w:r>
    </w:p>
    <w:bookmarkEnd w:id="1"/>
    <w:p>
      <w:pPr>
        <w:suppressAutoHyphens/>
        <w:ind w:firstLine="280" w:firstLineChars="100"/>
        <w:rPr>
          <w:rFonts w:ascii="宋体" w:hAnsi="宋体" w:cs="宋体"/>
          <w:sz w:val="28"/>
          <w:szCs w:val="28"/>
        </w:rPr>
      </w:pPr>
      <w:r>
        <w:rPr>
          <w:rFonts w:hint="eastAsia" w:ascii="宋体" w:hAnsi="宋体" w:cs="宋体"/>
          <w:sz w:val="28"/>
          <w:szCs w:val="28"/>
        </w:rPr>
        <w:t>4.除上述国家标准和规范外，还应遵守《青特钢工程项目统一技术规定》（2019年版）、以及青特钢《施工现场安全文明标准化手册》、《建设工程项目安全管理办法QTG-041-2019》的要求。</w:t>
      </w:r>
    </w:p>
    <w:p>
      <w:pPr>
        <w:adjustRightInd w:val="0"/>
        <w:snapToGrid w:val="0"/>
        <w:spacing w:line="360" w:lineRule="auto"/>
        <w:rPr>
          <w:rFonts w:ascii="宋体" w:hAnsi="宋体" w:cs="宋体"/>
          <w:kern w:val="0"/>
          <w:sz w:val="28"/>
          <w:szCs w:val="28"/>
        </w:rPr>
      </w:pPr>
      <w:r>
        <w:rPr>
          <w:rFonts w:hint="eastAsia" w:ascii="宋体" w:hAnsi="宋体" w:cs="宋体"/>
          <w:kern w:val="0"/>
          <w:sz w:val="28"/>
          <w:szCs w:val="28"/>
        </w:rPr>
        <w:t>（二）质量要求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1、施工前甲方对施工单位的油漆品牌和质量进行验收、确认，未经验收合格的不准用于工程。油漆相关质量合格证需作为工程完工后的验收附件。</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2、乙供防腐涂料需提供出厂合格证及检验报告，所有材料进场后需经甲方验收合格、油漆需在甲方监督下复检合格后，方可使用，复检费用由乙方负担。所有不合格材料一律退出厂外，所发生的一切费用及损失由乙方自行负担，甲方概不负责。 </w:t>
      </w:r>
    </w:p>
    <w:p>
      <w:pPr>
        <w:pStyle w:val="3"/>
        <w:spacing w:line="360" w:lineRule="auto"/>
        <w:ind w:firstLine="560" w:firstLineChars="200"/>
        <w:rPr>
          <w:rFonts w:ascii="宋体" w:hAnsi="宋体" w:cs="宋体"/>
          <w:sz w:val="28"/>
          <w:szCs w:val="28"/>
        </w:rPr>
      </w:pPr>
      <w:r>
        <w:rPr>
          <w:rFonts w:hint="eastAsia" w:ascii="宋体" w:hAnsi="宋体" w:cs="宋体"/>
          <w:bCs/>
          <w:sz w:val="28"/>
          <w:szCs w:val="28"/>
        </w:rPr>
        <w:t>3、工程质保期为1年。</w:t>
      </w:r>
    </w:p>
    <w:p>
      <w:pPr>
        <w:adjustRightInd w:val="0"/>
        <w:snapToGrid w:val="0"/>
        <w:spacing w:line="360" w:lineRule="auto"/>
        <w:rPr>
          <w:rFonts w:ascii="宋体" w:hAnsi="宋体" w:cs="宋体"/>
          <w:sz w:val="28"/>
          <w:szCs w:val="28"/>
        </w:rPr>
      </w:pPr>
      <w:r>
        <w:rPr>
          <w:rFonts w:hint="eastAsia" w:ascii="宋体" w:hAnsi="宋体" w:cs="宋体"/>
          <w:sz w:val="28"/>
          <w:szCs w:val="28"/>
        </w:rPr>
        <w:t>（三）施工要求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1、施工搭建的脚手架必须符合相关安全规定，使用前需经甲方验收合格后方可使用；</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2、管道包覆安装要求焊接</w:t>
      </w:r>
      <w:r>
        <w:rPr>
          <w:rFonts w:hint="eastAsia" w:ascii="宋体" w:hAnsi="宋体" w:cs="宋体"/>
          <w:sz w:val="28"/>
          <w:szCs w:val="28"/>
          <w:lang w:eastAsia="zh-CN"/>
        </w:rPr>
        <w:t>、高处作业、煤气作业、吊车指挥、脚手架搭设人员</w:t>
      </w:r>
      <w:r>
        <w:rPr>
          <w:rFonts w:hint="eastAsia" w:ascii="宋体" w:hAnsi="宋体" w:cs="宋体"/>
          <w:sz w:val="28"/>
          <w:szCs w:val="28"/>
        </w:rPr>
        <w:t>必须持证上岗；</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3、包覆钢板制作完成后，先防腐刷漆并经甲方验收合格后安装。</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4、包覆钢板搭接按照下图焊接形式施工，两钢板搭接长度为50mm，管道管托需包覆在钢板内，所有焊缝必须满焊。</w:t>
      </w:r>
    </w:p>
    <w:p>
      <w:pPr>
        <w:adjustRightInd w:val="0"/>
        <w:snapToGrid w:val="0"/>
        <w:spacing w:line="360" w:lineRule="auto"/>
        <w:ind w:firstLine="480" w:firstLineChars="200"/>
        <w:jc w:val="center"/>
        <w:rPr>
          <w:rFonts w:ascii="宋体" w:hAnsi="宋体" w:cs="宋体"/>
          <w:sz w:val="28"/>
          <w:szCs w:val="28"/>
          <w:highlight w:val="yellow"/>
        </w:rPr>
      </w:pPr>
      <w:r>
        <w:rPr>
          <w:rFonts w:ascii="宋体" w:hAnsi="宋体" w:cs="宋体"/>
          <w:sz w:val="24"/>
        </w:rPr>
        <w:drawing>
          <wp:inline distT="0" distB="0" distL="114300" distR="114300">
            <wp:extent cx="4629150" cy="28479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629150" cy="2847975"/>
                    </a:xfrm>
                    <a:prstGeom prst="rect">
                      <a:avLst/>
                    </a:prstGeom>
                    <a:noFill/>
                    <a:ln w="9525">
                      <a:noFill/>
                    </a:ln>
                  </pic:spPr>
                </pic:pic>
              </a:graphicData>
            </a:graphic>
          </wp:inline>
        </w:drawing>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5、色标色环</w:t>
      </w:r>
      <w:r>
        <w:rPr>
          <w:rFonts w:hint="eastAsia" w:ascii="宋体" w:hAnsi="宋体" w:cs="宋体"/>
          <w:sz w:val="28"/>
          <w:szCs w:val="28"/>
          <w:lang w:eastAsia="zh-CN"/>
        </w:rPr>
        <w:t>介质流向</w:t>
      </w:r>
      <w:r>
        <w:rPr>
          <w:rFonts w:hint="eastAsia" w:ascii="宋体" w:hAnsi="宋体" w:cs="宋体"/>
          <w:sz w:val="28"/>
          <w:szCs w:val="28"/>
        </w:rPr>
        <w:t>施工结束后由乙方负责恢复。现有管道上有诸多堵漏补丁，乙方须在包覆钢板上定位开孔，钢板完全贴合后对堵漏补丁周围进行焊接。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6、管道包覆不得借用管托作为包覆用板。</w:t>
      </w:r>
    </w:p>
    <w:p>
      <w:pPr>
        <w:adjustRightInd w:val="0"/>
        <w:snapToGrid w:val="0"/>
        <w:spacing w:line="360" w:lineRule="auto"/>
        <w:rPr>
          <w:rFonts w:ascii="宋体" w:hAnsi="宋体" w:cs="宋体"/>
          <w:sz w:val="28"/>
          <w:szCs w:val="28"/>
        </w:rPr>
      </w:pPr>
      <w:r>
        <w:rPr>
          <w:rFonts w:hint="eastAsia" w:ascii="宋体" w:hAnsi="宋体" w:cs="宋体"/>
          <w:sz w:val="28"/>
          <w:szCs w:val="28"/>
        </w:rPr>
        <w:tab/>
      </w:r>
      <w:r>
        <w:rPr>
          <w:rFonts w:hint="eastAsia" w:ascii="宋体" w:hAnsi="宋体" w:cs="宋体"/>
          <w:sz w:val="28"/>
          <w:szCs w:val="28"/>
        </w:rPr>
        <w:t>防腐施工要求如下：</w:t>
      </w:r>
    </w:p>
    <w:p>
      <w:pPr>
        <w:adjustRightInd w:val="0"/>
        <w:snapToGrid w:val="0"/>
        <w:spacing w:line="360" w:lineRule="auto"/>
        <w:ind w:firstLine="560" w:firstLineChars="200"/>
        <w:rPr>
          <w:rFonts w:ascii="宋体" w:hAnsi="宋体" w:cs="宋体"/>
          <w:sz w:val="28"/>
          <w:szCs w:val="28"/>
        </w:rPr>
      </w:pPr>
      <w:r>
        <w:rPr>
          <w:rFonts w:cs="Calibri"/>
          <w:sz w:val="28"/>
          <w:szCs w:val="28"/>
        </w:rPr>
        <w:t>①</w:t>
      </w:r>
      <w:r>
        <w:rPr>
          <w:rFonts w:hint="eastAsia" w:ascii="宋体" w:hAnsi="宋体" w:cs="宋体"/>
          <w:sz w:val="28"/>
          <w:szCs w:val="28"/>
        </w:rPr>
        <w:t>表面处理：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钢材表面预处理应符合现行国家标准《涂装前钢材表面锈蚀等级和除锈等级》 (GB/T8923)的有关规定。采用手工和动力工具除锈达到st2级。</w:t>
      </w:r>
    </w:p>
    <w:p>
      <w:pPr>
        <w:adjustRightInd w:val="0"/>
        <w:snapToGrid w:val="0"/>
        <w:spacing w:line="360" w:lineRule="auto"/>
        <w:ind w:firstLine="560" w:firstLineChars="200"/>
        <w:rPr>
          <w:rFonts w:ascii="宋体" w:hAnsi="宋体" w:cs="宋体"/>
          <w:sz w:val="28"/>
          <w:szCs w:val="28"/>
        </w:rPr>
      </w:pPr>
      <w:r>
        <w:rPr>
          <w:rFonts w:cs="Calibri"/>
          <w:sz w:val="28"/>
          <w:szCs w:val="28"/>
        </w:rPr>
        <w:t>②</w:t>
      </w:r>
      <w:r>
        <w:rPr>
          <w:rFonts w:hint="eastAsia" w:ascii="宋体" w:hAnsi="宋体" w:cs="宋体"/>
          <w:sz w:val="28"/>
          <w:szCs w:val="28"/>
        </w:rPr>
        <w:t>涂装要求：</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内表面涂刷环氧富锌底漆（30%）2道，厚度60μm ；</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外表面涂刷环氧富锌底漆（30%）1道 ；环氧云铁中间漆1道；丙烯酸聚氨酯面漆2道。面漆颜色为银灰色（B04）。四遍漆膜总厚度不小于150μm。达不到者，加刷一遍面漆。</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6、防腐涂料进场施工前需要现场见证取样，送第三方机构进行复检。费用由乙方承担。</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 xml:space="preserve">7、防腐涂料品牌指定六家： </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兰陵牌：江苏兰陵油漆涂料有限公司；</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金陵牌：江苏金陵特种涂料有限公司；</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神仪牌：江苏中涂精细化工有限公司；</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吉人智漆：苏州吉人高新材料股份有限公司；</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乐化牌：山东乐化漆业股份有限公司；</w:t>
      </w:r>
    </w:p>
    <w:p>
      <w:pPr>
        <w:spacing w:line="360" w:lineRule="auto"/>
        <w:ind w:left="420" w:leftChars="200" w:firstLine="560" w:firstLineChars="200"/>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齐鲁牌：山东齐鲁漆业有限公司；</w:t>
      </w:r>
    </w:p>
    <w:p>
      <w:pPr>
        <w:adjustRightInd w:val="0"/>
        <w:snapToGrid w:val="0"/>
        <w:spacing w:line="360" w:lineRule="auto"/>
        <w:ind w:firstLine="280" w:firstLineChars="100"/>
        <w:rPr>
          <w:rFonts w:ascii="宋体" w:hAnsi="宋体" w:cs="宋体"/>
          <w:sz w:val="28"/>
          <w:szCs w:val="28"/>
        </w:rPr>
      </w:pPr>
      <w:r>
        <w:rPr>
          <w:rFonts w:hint="eastAsia" w:ascii="宋体" w:hAnsi="宋体" w:cs="宋体"/>
          <w:sz w:val="28"/>
          <w:szCs w:val="28"/>
        </w:rPr>
        <w:t>乙方从以上六个品牌中选择，并在报价中注明所选择的涂料品牌。</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8、乙方在防腐施工时，每一个施工节点（如除锈、底漆、中间漆、面漆）必须经甲方验收合格后才能进行下步工序施工。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9、施工完成后，乙方对施工区域进行彻底清扫，保证无杂物。</w:t>
      </w:r>
    </w:p>
    <w:p>
      <w:pPr>
        <w:adjustRightInd w:val="0"/>
        <w:snapToGrid w:val="0"/>
        <w:rPr>
          <w:rFonts w:ascii="宋体" w:hAnsi="宋体" w:cs="宋体"/>
          <w:b/>
          <w:bCs/>
          <w:kern w:val="0"/>
          <w:sz w:val="28"/>
          <w:szCs w:val="28"/>
        </w:rPr>
      </w:pPr>
      <w:r>
        <w:rPr>
          <w:rFonts w:hint="eastAsia" w:ascii="宋体" w:hAnsi="宋体" w:cs="宋体"/>
          <w:b/>
          <w:bCs/>
          <w:sz w:val="28"/>
          <w:szCs w:val="28"/>
        </w:rPr>
        <w:t>四、</w:t>
      </w:r>
      <w:r>
        <w:rPr>
          <w:rFonts w:hint="eastAsia" w:ascii="宋体" w:hAnsi="宋体" w:cs="宋体"/>
          <w:b/>
          <w:bCs/>
          <w:kern w:val="0"/>
          <w:sz w:val="28"/>
          <w:szCs w:val="28"/>
        </w:rPr>
        <w:t>现场要求</w:t>
      </w:r>
    </w:p>
    <w:p>
      <w:pPr>
        <w:ind w:firstLine="560" w:firstLineChars="200"/>
        <w:jc w:val="left"/>
        <w:rPr>
          <w:rFonts w:ascii="宋体" w:hAnsi="宋体" w:cs="宋体"/>
          <w:bCs/>
          <w:sz w:val="28"/>
          <w:szCs w:val="28"/>
        </w:rPr>
      </w:pPr>
      <w:r>
        <w:rPr>
          <w:rFonts w:hint="eastAsia" w:ascii="宋体" w:hAnsi="宋体" w:cs="宋体"/>
          <w:bCs/>
          <w:sz w:val="28"/>
          <w:szCs w:val="28"/>
        </w:rPr>
        <w:t>1、工地勘察及开工手续</w:t>
      </w:r>
    </w:p>
    <w:p>
      <w:pPr>
        <w:ind w:firstLine="560" w:firstLineChars="200"/>
        <w:jc w:val="left"/>
        <w:rPr>
          <w:rFonts w:ascii="宋体" w:hAnsi="宋体" w:cs="宋体"/>
          <w:bCs/>
          <w:sz w:val="28"/>
          <w:szCs w:val="28"/>
        </w:rPr>
      </w:pPr>
      <w:bookmarkStart w:id="2" w:name="_Toc490725268"/>
      <w:bookmarkEnd w:id="2"/>
      <w:r>
        <w:rPr>
          <w:rFonts w:hint="eastAsia" w:ascii="宋体" w:hAnsi="宋体" w:cs="宋体"/>
          <w:bCs/>
          <w:sz w:val="28"/>
          <w:szCs w:val="28"/>
        </w:rPr>
        <w:t>乙方必须认真勘察工程现场，使自己熟悉现场的位置、周围环境，确定工程范围和现有工地条件，了解场内供水/供电等情况，以及作贮存和施工的空间、施工人员、材料等进出方位等，以便取得一切可能影响其承包造价的额外的付款或延长竣工期限的因素，对此甲方将不作任何考虑。乙方必须按规定在当地办理开工手续。</w:t>
      </w:r>
    </w:p>
    <w:p>
      <w:pPr>
        <w:ind w:firstLine="560" w:firstLineChars="200"/>
        <w:jc w:val="left"/>
        <w:rPr>
          <w:rFonts w:ascii="宋体" w:hAnsi="宋体" w:cs="宋体"/>
          <w:bCs/>
          <w:sz w:val="28"/>
          <w:szCs w:val="28"/>
        </w:rPr>
      </w:pPr>
      <w:bookmarkStart w:id="3" w:name="_Toc490725269"/>
      <w:bookmarkEnd w:id="3"/>
      <w:r>
        <w:rPr>
          <w:rFonts w:hint="eastAsia" w:ascii="宋体" w:hAnsi="宋体" w:cs="宋体"/>
          <w:bCs/>
          <w:sz w:val="28"/>
          <w:szCs w:val="28"/>
        </w:rPr>
        <w:t>2、清理工程现场</w:t>
      </w:r>
    </w:p>
    <w:p>
      <w:pPr>
        <w:ind w:firstLine="560" w:firstLineChars="200"/>
        <w:jc w:val="left"/>
        <w:rPr>
          <w:rFonts w:ascii="宋体" w:hAnsi="宋体" w:cs="宋体"/>
          <w:bCs/>
          <w:sz w:val="28"/>
          <w:szCs w:val="28"/>
        </w:rPr>
      </w:pPr>
      <w:bookmarkStart w:id="4" w:name="_Toc490725270"/>
      <w:bookmarkEnd w:id="4"/>
      <w:r>
        <w:rPr>
          <w:rFonts w:hint="eastAsia" w:ascii="宋体" w:hAnsi="宋体" w:cs="宋体"/>
          <w:bCs/>
          <w:sz w:val="28"/>
          <w:szCs w:val="28"/>
        </w:rPr>
        <w:t>乙方须在工程开始时进行场地清理及在工程进行中随时清理工程现场，以保持施工场地整洁，文明施工。</w:t>
      </w:r>
    </w:p>
    <w:p>
      <w:pPr>
        <w:ind w:firstLine="560" w:firstLineChars="200"/>
        <w:jc w:val="left"/>
        <w:rPr>
          <w:rFonts w:ascii="宋体" w:hAnsi="宋体" w:cs="宋体"/>
          <w:bCs/>
          <w:sz w:val="28"/>
          <w:szCs w:val="28"/>
        </w:rPr>
      </w:pPr>
      <w:bookmarkStart w:id="5" w:name="_Toc490725271"/>
      <w:bookmarkEnd w:id="5"/>
      <w:r>
        <w:rPr>
          <w:rFonts w:hint="eastAsia" w:ascii="宋体" w:hAnsi="宋体" w:cs="宋体"/>
          <w:bCs/>
          <w:sz w:val="28"/>
          <w:szCs w:val="28"/>
        </w:rPr>
        <w:t>此外，乙方必须于实际完工日期后七天内将一切机械、工具、剩余材料、废物等迁离施工场地，并整理后将工地交回甲方，须甲方验收合格。</w:t>
      </w:r>
    </w:p>
    <w:p>
      <w:pPr>
        <w:widowControl/>
        <w:spacing w:line="360" w:lineRule="auto"/>
        <w:ind w:firstLine="480"/>
        <w:jc w:val="left"/>
        <w:rPr>
          <w:rFonts w:ascii="宋体" w:hAnsi="宋体" w:cs="宋体"/>
          <w:bCs/>
          <w:sz w:val="28"/>
          <w:szCs w:val="28"/>
        </w:rPr>
      </w:pPr>
      <w:r>
        <w:rPr>
          <w:rFonts w:hint="eastAsia" w:ascii="宋体"/>
          <w:sz w:val="28"/>
          <w:szCs w:val="28"/>
          <w:u w:val="single"/>
        </w:rPr>
        <w:t>施工产生的危险废弃物必须遵守青特钢相关规定制度，由青特钢统一安排有资质的厂家做无害化处理，费用由乙方承担。</w:t>
      </w:r>
    </w:p>
    <w:p>
      <w:pPr>
        <w:ind w:firstLine="560" w:firstLineChars="200"/>
        <w:jc w:val="left"/>
        <w:rPr>
          <w:rFonts w:ascii="宋体" w:hAnsi="宋体" w:cs="宋体"/>
          <w:bCs/>
          <w:sz w:val="28"/>
          <w:szCs w:val="28"/>
        </w:rPr>
      </w:pPr>
      <w:bookmarkStart w:id="6" w:name="_Toc490725272"/>
      <w:bookmarkEnd w:id="6"/>
      <w:r>
        <w:rPr>
          <w:rFonts w:hint="eastAsia" w:ascii="宋体" w:hAnsi="宋体" w:cs="宋体"/>
          <w:bCs/>
          <w:sz w:val="28"/>
          <w:szCs w:val="28"/>
        </w:rPr>
        <w:t>3、工程现场</w:t>
      </w:r>
    </w:p>
    <w:p>
      <w:pPr>
        <w:ind w:firstLine="560" w:firstLineChars="200"/>
        <w:jc w:val="left"/>
        <w:rPr>
          <w:rFonts w:ascii="宋体" w:hAnsi="宋体" w:cs="宋体"/>
          <w:bCs/>
          <w:sz w:val="28"/>
          <w:szCs w:val="28"/>
        </w:rPr>
      </w:pPr>
      <w:bookmarkStart w:id="7" w:name="_Toc490725273"/>
      <w:bookmarkEnd w:id="7"/>
      <w:r>
        <w:rPr>
          <w:rFonts w:hint="eastAsia" w:ascii="宋体" w:hAnsi="宋体" w:cs="宋体"/>
          <w:bCs/>
          <w:sz w:val="28"/>
          <w:szCs w:val="28"/>
        </w:rPr>
        <w:t>所有施工人员必须统一着装并配套反光背心，安全劳保配套到位，安全帽按照甲方要求粘贴区分标志。现场所使用的电动工具必须经过甲方相关部门检测鉴定后，粘贴</w:t>
      </w:r>
      <w:r>
        <w:rPr>
          <w:rFonts w:hint="eastAsia" w:ascii="宋体" w:hAnsi="宋体" w:cs="宋体"/>
          <w:bCs/>
          <w:sz w:val="28"/>
          <w:szCs w:val="28"/>
          <w:lang w:eastAsia="zh-CN"/>
        </w:rPr>
        <w:t>合格</w:t>
      </w:r>
      <w:r>
        <w:rPr>
          <w:rFonts w:hint="eastAsia" w:ascii="宋体" w:hAnsi="宋体" w:cs="宋体"/>
          <w:bCs/>
          <w:sz w:val="28"/>
          <w:szCs w:val="28"/>
        </w:rPr>
        <w:t>使用标签后才能使用。在甲方指定的区域内组织施工，不允许进入生产区。同时需遵守青岛特钢及生产厂的各项规章制度。原材物料不经甲方许可不得现场堆放，需临时周转的物料务必存放在甲方指定区域，并由乙方负责看管，如有丢失与甲方无关。</w:t>
      </w:r>
    </w:p>
    <w:p>
      <w:pPr>
        <w:ind w:firstLine="560" w:firstLineChars="200"/>
        <w:jc w:val="left"/>
        <w:rPr>
          <w:rFonts w:ascii="宋体" w:hAnsi="宋体" w:cs="宋体"/>
          <w:bCs/>
          <w:sz w:val="28"/>
          <w:szCs w:val="28"/>
        </w:rPr>
      </w:pPr>
      <w:bookmarkStart w:id="8" w:name="_Toc490725277"/>
      <w:bookmarkEnd w:id="8"/>
      <w:r>
        <w:rPr>
          <w:rFonts w:hint="eastAsia" w:ascii="宋体" w:hAnsi="宋体" w:cs="宋体"/>
          <w:bCs/>
          <w:sz w:val="28"/>
          <w:szCs w:val="28"/>
        </w:rPr>
        <w:t>4、消防设备</w:t>
      </w:r>
    </w:p>
    <w:p>
      <w:pPr>
        <w:ind w:firstLine="560" w:firstLineChars="200"/>
        <w:jc w:val="left"/>
        <w:rPr>
          <w:rFonts w:ascii="宋体" w:hAnsi="宋体" w:cs="宋体"/>
          <w:bCs/>
          <w:sz w:val="28"/>
          <w:szCs w:val="28"/>
        </w:rPr>
      </w:pPr>
      <w:r>
        <w:rPr>
          <w:rFonts w:hint="eastAsia" w:ascii="宋体" w:hAnsi="宋体" w:cs="宋体"/>
          <w:bCs/>
          <w:sz w:val="28"/>
          <w:szCs w:val="28"/>
        </w:rPr>
        <w:t>乙方将负责在施工期间提供适当的消防设备，并遵守国家和当地消防局之消防安全条例、规范和所有施工安全（包括用电等）的规定。乙方须在工程现场设置灭火器和防火标志，并对违反消防安全行为而引起的一切后果承担全部责任。</w:t>
      </w:r>
    </w:p>
    <w:p>
      <w:pPr>
        <w:ind w:firstLine="560" w:firstLineChars="200"/>
        <w:jc w:val="left"/>
        <w:rPr>
          <w:rFonts w:ascii="宋体" w:hAnsi="宋体" w:cs="宋体"/>
          <w:bCs/>
          <w:sz w:val="28"/>
          <w:szCs w:val="28"/>
        </w:rPr>
      </w:pPr>
      <w:r>
        <w:rPr>
          <w:rFonts w:hint="eastAsia" w:ascii="宋体" w:hAnsi="宋体" w:cs="宋体"/>
          <w:bCs/>
          <w:sz w:val="28"/>
          <w:szCs w:val="28"/>
        </w:rPr>
        <w:t>5、卫生设施</w:t>
      </w:r>
    </w:p>
    <w:p>
      <w:pPr>
        <w:ind w:firstLine="560" w:firstLineChars="200"/>
        <w:jc w:val="left"/>
        <w:rPr>
          <w:rFonts w:ascii="宋体" w:hAnsi="宋体" w:cs="宋体"/>
          <w:bCs/>
          <w:sz w:val="28"/>
          <w:szCs w:val="28"/>
        </w:rPr>
      </w:pPr>
      <w:r>
        <w:rPr>
          <w:rFonts w:hint="eastAsia" w:ascii="宋体" w:hAnsi="宋体" w:cs="宋体"/>
          <w:bCs/>
          <w:sz w:val="28"/>
          <w:szCs w:val="28"/>
        </w:rPr>
        <w:t>乙方必须保持工地现场卫生清洁，配备必要的生活垃圾桶等必要的卫生设施，在工程结束后及时予以清理不得影响工程交付。</w:t>
      </w:r>
    </w:p>
    <w:p>
      <w:pPr>
        <w:ind w:firstLine="560" w:firstLineChars="200"/>
        <w:jc w:val="left"/>
        <w:rPr>
          <w:rFonts w:ascii="宋体" w:hAnsi="宋体" w:cs="宋体"/>
          <w:bCs/>
          <w:sz w:val="28"/>
          <w:szCs w:val="28"/>
        </w:rPr>
      </w:pPr>
      <w:r>
        <w:rPr>
          <w:rFonts w:hint="eastAsia" w:ascii="宋体" w:hAnsi="宋体" w:cs="宋体"/>
          <w:bCs/>
          <w:sz w:val="28"/>
          <w:szCs w:val="28"/>
        </w:rPr>
        <w:t>6、施工安全</w:t>
      </w:r>
    </w:p>
    <w:p>
      <w:pPr>
        <w:ind w:firstLine="560" w:firstLineChars="200"/>
        <w:jc w:val="left"/>
        <w:rPr>
          <w:rFonts w:ascii="宋体" w:hAnsi="宋体" w:cs="宋体"/>
          <w:bCs/>
          <w:sz w:val="28"/>
          <w:szCs w:val="28"/>
        </w:rPr>
      </w:pPr>
      <w:r>
        <w:rPr>
          <w:rFonts w:hint="eastAsia" w:ascii="宋体" w:hAnsi="宋体" w:cs="宋体"/>
          <w:bCs/>
          <w:sz w:val="28"/>
          <w:szCs w:val="28"/>
        </w:rPr>
        <w:t>6.1中标单位接到中标通知书后，需与甲方签订承发包工程安全管理协议书及承发包工程环境保护管理协议书、动力能源使用协议。</w:t>
      </w:r>
    </w:p>
    <w:p>
      <w:pPr>
        <w:ind w:firstLine="560" w:firstLineChars="200"/>
        <w:jc w:val="left"/>
        <w:rPr>
          <w:rFonts w:ascii="宋体" w:hAnsi="宋体" w:cs="宋体"/>
          <w:bCs/>
          <w:sz w:val="28"/>
          <w:szCs w:val="28"/>
        </w:rPr>
      </w:pPr>
      <w:r>
        <w:rPr>
          <w:rFonts w:hint="eastAsia" w:ascii="宋体" w:hAnsi="宋体" w:cs="宋体"/>
          <w:bCs/>
          <w:sz w:val="28"/>
          <w:szCs w:val="28"/>
        </w:rPr>
        <w:t>6.2乙方必须严格遵守甲方《生产（施工）作业现场违章考核管理规定》、《生产现场定置定位管理实施细则》等安全文明施工的相关规定制度。</w:t>
      </w:r>
    </w:p>
    <w:p>
      <w:pPr>
        <w:ind w:firstLine="560" w:firstLineChars="200"/>
        <w:jc w:val="left"/>
        <w:rPr>
          <w:rFonts w:ascii="宋体" w:hAnsi="宋体" w:cs="宋体"/>
          <w:bCs/>
          <w:sz w:val="28"/>
          <w:szCs w:val="28"/>
        </w:rPr>
      </w:pPr>
      <w:r>
        <w:rPr>
          <w:rFonts w:hint="eastAsia" w:ascii="宋体" w:hAnsi="宋体" w:cs="宋体"/>
          <w:bCs/>
          <w:sz w:val="28"/>
          <w:szCs w:val="28"/>
        </w:rPr>
        <w:t>6.3乙方必须严格按国家规范安全守则进行施工，建立安全施工制度，并每日派专人负责检查工地内一切安全设施设备并留有书面记录，以减低意外事故发生的可能性，确保工程施工无重大安全伤亡事故；一切保持工地现场安全的设施设备等费用均由乙方负责。</w:t>
      </w:r>
    </w:p>
    <w:p>
      <w:pPr>
        <w:ind w:firstLine="560" w:firstLineChars="200"/>
        <w:jc w:val="left"/>
        <w:rPr>
          <w:rFonts w:ascii="宋体" w:hAnsi="宋体" w:cs="宋体"/>
          <w:bCs/>
          <w:sz w:val="28"/>
          <w:szCs w:val="28"/>
        </w:rPr>
      </w:pPr>
      <w:r>
        <w:rPr>
          <w:rFonts w:hint="eastAsia" w:ascii="宋体" w:hAnsi="宋体" w:cs="宋体"/>
          <w:bCs/>
          <w:sz w:val="28"/>
          <w:szCs w:val="28"/>
        </w:rPr>
        <w:t>6.4乙方除另行签订《安全管理协议》外还要按以下安全条款执行：</w:t>
      </w:r>
    </w:p>
    <w:p>
      <w:pPr>
        <w:ind w:firstLine="560" w:firstLineChars="200"/>
        <w:jc w:val="left"/>
        <w:rPr>
          <w:rFonts w:ascii="宋体" w:hAnsi="宋体" w:cs="宋体"/>
          <w:bCs/>
          <w:sz w:val="28"/>
          <w:szCs w:val="28"/>
        </w:rPr>
      </w:pPr>
      <w:r>
        <w:rPr>
          <w:rFonts w:hint="eastAsia" w:ascii="宋体" w:hAnsi="宋体" w:cs="宋体"/>
          <w:bCs/>
          <w:sz w:val="28"/>
          <w:szCs w:val="28"/>
        </w:rPr>
        <w:t>6.4.1甲方有权监督乙方落实主体管理责任；有权对乙方作业现场和作业活动进行定期安全检查；有权对施工方案中的安全措施和应急处置措施提出审核建议，并监督落实；负责对作业现场进行安全交底；有权对涉煤气检修作业、有限空间作业、各级高空作业、吊装作业等危险作业提出审批建议；有权定期组织安全会议；其他与乙方安全有关事宜。</w:t>
      </w:r>
    </w:p>
    <w:p>
      <w:pPr>
        <w:ind w:firstLine="560" w:firstLineChars="200"/>
        <w:jc w:val="left"/>
        <w:rPr>
          <w:rFonts w:ascii="宋体" w:hAnsi="宋体" w:cs="宋体"/>
          <w:bCs/>
          <w:sz w:val="28"/>
          <w:szCs w:val="28"/>
        </w:rPr>
      </w:pPr>
      <w:r>
        <w:rPr>
          <w:rFonts w:hint="eastAsia" w:ascii="宋体" w:hAnsi="宋体" w:cs="宋体"/>
          <w:bCs/>
          <w:sz w:val="28"/>
          <w:szCs w:val="28"/>
        </w:rPr>
        <w:t>6.4.2乙方安全职责：乙方对其安全负主体管理责任。乙方必须遵守相关法律法规标准规范、遵守甲方的各项安全管理制度，明确安全目标及承诺要求，明确其安全机构或安全管理人员配备要求，满足安全投入要求，负责对乙方作业人员进行入厂安全培训，满足建立健全安全生产责任制要求、特种设备管理要求、特种作业人员和特种设备操作人员管理要求、风险评估和控制要求、安全教育培训要求、高风险作业管理要求、危险物品及重大危险源管理要求、职业病防治管理要求、劳动防护用品（具）配备要求、安全检查及隐患（含违章）治理要求、消防管理要求、应急管理要求、事故汇报及调查处理要求、依法缴纳工伤保险要求、分包管理要求。</w:t>
      </w:r>
    </w:p>
    <w:p>
      <w:pPr>
        <w:ind w:firstLine="560" w:firstLineChars="200"/>
        <w:jc w:val="left"/>
        <w:rPr>
          <w:rFonts w:ascii="宋体" w:hAnsi="宋体" w:cs="宋体"/>
          <w:bCs/>
          <w:sz w:val="28"/>
          <w:szCs w:val="28"/>
        </w:rPr>
      </w:pPr>
      <w:r>
        <w:rPr>
          <w:rFonts w:hint="eastAsia" w:ascii="宋体" w:hAnsi="宋体" w:cs="宋体"/>
          <w:bCs/>
          <w:sz w:val="28"/>
          <w:szCs w:val="28"/>
        </w:rPr>
        <w:t>6.4.3违约责任</w:t>
      </w:r>
    </w:p>
    <w:p>
      <w:pPr>
        <w:ind w:firstLine="560" w:firstLineChars="200"/>
        <w:jc w:val="left"/>
        <w:rPr>
          <w:rFonts w:ascii="宋体" w:hAnsi="宋体" w:cs="宋体"/>
          <w:bCs/>
          <w:sz w:val="28"/>
          <w:szCs w:val="28"/>
        </w:rPr>
      </w:pPr>
      <w:r>
        <w:rPr>
          <w:rFonts w:hint="eastAsia" w:ascii="宋体" w:hAnsi="宋体" w:cs="宋体"/>
          <w:bCs/>
          <w:sz w:val="28"/>
          <w:szCs w:val="28"/>
        </w:rPr>
        <w:t>包括以下内容：</w:t>
      </w:r>
    </w:p>
    <w:p>
      <w:pPr>
        <w:ind w:firstLine="560" w:firstLineChars="200"/>
        <w:jc w:val="left"/>
        <w:rPr>
          <w:rFonts w:ascii="宋体" w:hAnsi="宋体" w:cs="宋体"/>
          <w:bCs/>
          <w:sz w:val="28"/>
          <w:szCs w:val="28"/>
        </w:rPr>
      </w:pPr>
      <w:r>
        <w:rPr>
          <w:rFonts w:hint="eastAsia" w:ascii="宋体" w:hAnsi="宋体" w:cs="宋体"/>
          <w:bCs/>
          <w:sz w:val="28"/>
          <w:szCs w:val="28"/>
        </w:rPr>
        <w:t>1）乙方未履行或履行不符合本合同规定的乙方安全职责时，应承担违约金额 5000 元/项/次。</w:t>
      </w:r>
    </w:p>
    <w:p>
      <w:pPr>
        <w:ind w:firstLine="560" w:firstLineChars="200"/>
        <w:jc w:val="left"/>
        <w:rPr>
          <w:rFonts w:ascii="宋体" w:hAnsi="宋体" w:cs="宋体"/>
          <w:bCs/>
          <w:sz w:val="28"/>
          <w:szCs w:val="28"/>
        </w:rPr>
      </w:pPr>
      <w:r>
        <w:rPr>
          <w:rFonts w:hint="eastAsia" w:ascii="宋体" w:hAnsi="宋体" w:cs="宋体"/>
          <w:bCs/>
          <w:sz w:val="28"/>
          <w:szCs w:val="28"/>
        </w:rPr>
        <w:t>2）乙方应按照甲方《建设工程管理办法》，实施小班化管理和设立旁站安全员。甲方履行安全监管职责时，发现的乙方违章及隐患根据其性质按1000-5000 元/项扣除违约金。</w:t>
      </w:r>
    </w:p>
    <w:p>
      <w:pPr>
        <w:ind w:firstLine="560" w:firstLineChars="200"/>
        <w:jc w:val="left"/>
        <w:rPr>
          <w:rFonts w:ascii="宋体" w:hAnsi="宋体" w:cs="宋体"/>
          <w:bCs/>
          <w:sz w:val="28"/>
          <w:szCs w:val="28"/>
        </w:rPr>
      </w:pPr>
      <w:r>
        <w:rPr>
          <w:rFonts w:hint="eastAsia" w:ascii="宋体" w:hAnsi="宋体" w:cs="宋体"/>
          <w:bCs/>
          <w:sz w:val="28"/>
          <w:szCs w:val="28"/>
        </w:rPr>
        <w:t>3）乙方在甲方工作期间发生安全事故，必须按中信泰富特钢集团《安全生产事故报告管理办法》进行调查处理。以事故调查分析报告为准，若是因为乙方或乙方人员主要责任而发生的，乙方承诺遵守如下违约处理条款：</w:t>
      </w:r>
    </w:p>
    <w:p>
      <w:pPr>
        <w:ind w:firstLine="560" w:firstLineChars="200"/>
        <w:jc w:val="left"/>
        <w:rPr>
          <w:rFonts w:ascii="宋体" w:hAnsi="宋体" w:cs="宋体"/>
          <w:bCs/>
          <w:sz w:val="28"/>
          <w:szCs w:val="28"/>
        </w:rPr>
      </w:pPr>
      <w:r>
        <w:rPr>
          <w:rFonts w:hint="eastAsia" w:ascii="宋体" w:hAnsi="宋体" w:cs="宋体"/>
          <w:bCs/>
          <w:sz w:val="28"/>
          <w:szCs w:val="28"/>
        </w:rPr>
        <w:t>①工亡事故：违约金额为 30-100万元/人。</w:t>
      </w:r>
    </w:p>
    <w:p>
      <w:pPr>
        <w:ind w:firstLine="560" w:firstLineChars="200"/>
        <w:jc w:val="left"/>
        <w:rPr>
          <w:rFonts w:ascii="宋体" w:hAnsi="宋体" w:cs="宋体"/>
          <w:bCs/>
          <w:sz w:val="28"/>
          <w:szCs w:val="28"/>
        </w:rPr>
      </w:pPr>
      <w:r>
        <w:rPr>
          <w:rFonts w:hint="eastAsia" w:ascii="宋体" w:hAnsi="宋体" w:cs="宋体"/>
          <w:bCs/>
          <w:sz w:val="28"/>
          <w:szCs w:val="28"/>
        </w:rPr>
        <w:t>②重伤事故：违约金额为 10-50 万元/人。</w:t>
      </w:r>
    </w:p>
    <w:p>
      <w:pPr>
        <w:ind w:firstLine="560" w:firstLineChars="200"/>
        <w:jc w:val="left"/>
        <w:rPr>
          <w:rFonts w:ascii="宋体" w:hAnsi="宋体" w:cs="宋体"/>
          <w:bCs/>
          <w:sz w:val="28"/>
          <w:szCs w:val="28"/>
        </w:rPr>
      </w:pPr>
      <w:r>
        <w:rPr>
          <w:rFonts w:hint="eastAsia" w:ascii="宋体" w:hAnsi="宋体" w:cs="宋体"/>
          <w:bCs/>
          <w:sz w:val="28"/>
          <w:szCs w:val="28"/>
        </w:rPr>
        <w:t>③轻伤事故：违约金额为 3000-10000 元/人。</w:t>
      </w:r>
    </w:p>
    <w:p>
      <w:pPr>
        <w:ind w:firstLine="560" w:firstLineChars="200"/>
        <w:jc w:val="left"/>
        <w:rPr>
          <w:rFonts w:ascii="宋体" w:hAnsi="宋体" w:cs="宋体"/>
          <w:bCs/>
          <w:sz w:val="28"/>
          <w:szCs w:val="28"/>
        </w:rPr>
      </w:pPr>
      <w:r>
        <w:rPr>
          <w:rFonts w:hint="eastAsia" w:ascii="宋体" w:hAnsi="宋体" w:cs="宋体"/>
          <w:bCs/>
          <w:sz w:val="28"/>
          <w:szCs w:val="28"/>
        </w:rPr>
        <w:t>④违章相关违约金1000--5000元。</w:t>
      </w:r>
    </w:p>
    <w:p>
      <w:pPr>
        <w:jc w:val="left"/>
        <w:rPr>
          <w:rFonts w:ascii="宋体" w:hAnsi="宋体" w:cs="宋体"/>
          <w:bCs/>
          <w:sz w:val="28"/>
          <w:szCs w:val="28"/>
        </w:rPr>
      </w:pPr>
      <w:r>
        <w:rPr>
          <w:rFonts w:hint="eastAsia" w:ascii="宋体" w:hAnsi="宋体" w:cs="宋体"/>
          <w:bCs/>
          <w:sz w:val="28"/>
          <w:szCs w:val="28"/>
        </w:rPr>
        <w:t>前款约定违约金范围的，甲方有权确定具体金额，乙方对此无异议。</w:t>
      </w:r>
    </w:p>
    <w:p>
      <w:pPr>
        <w:ind w:firstLine="560" w:firstLineChars="200"/>
        <w:jc w:val="left"/>
        <w:rPr>
          <w:rFonts w:ascii="宋体" w:hAnsi="宋体" w:cs="宋体"/>
          <w:bCs/>
          <w:sz w:val="28"/>
          <w:szCs w:val="28"/>
        </w:rPr>
      </w:pPr>
      <w:r>
        <w:rPr>
          <w:rFonts w:hint="eastAsia" w:ascii="宋体" w:hAnsi="宋体" w:cs="宋体"/>
          <w:bCs/>
          <w:sz w:val="28"/>
          <w:szCs w:val="28"/>
        </w:rPr>
        <w:t>6.4.4乙方因现场监管失控屡次出现特种（设备）作业人员未持有有效操作证；违章指挥、强令他人进行违章冒险作业；酒后上岗及班中喝酒；高处作业不系安全带；约时送电和擅自合闸等严重违章行为的，甲方有权责令停工整顿3-7日，待整改完毕经复查合格后复工。</w:t>
      </w:r>
    </w:p>
    <w:p>
      <w:pPr>
        <w:ind w:firstLine="560" w:firstLineChars="200"/>
        <w:jc w:val="left"/>
        <w:rPr>
          <w:rFonts w:ascii="宋体" w:hAnsi="宋体" w:cs="宋体"/>
          <w:bCs/>
          <w:sz w:val="28"/>
          <w:szCs w:val="28"/>
        </w:rPr>
      </w:pPr>
      <w:r>
        <w:rPr>
          <w:rFonts w:hint="eastAsia" w:ascii="宋体" w:hAnsi="宋体" w:cs="宋体"/>
          <w:bCs/>
          <w:sz w:val="28"/>
          <w:szCs w:val="28"/>
        </w:rPr>
        <w:t>6.4.5乙方必须为从事作业的职工进行体检并办理意外伤害险（保额不小于100万元/人），并为施工场地内的自有人员及第三者人员生命财产及施工机械设备办理保险，并支付保险费用。运至施工场地内用于本工程的材料和待安装设备，由乙方办理保险，并支付保险费用。</w:t>
      </w:r>
    </w:p>
    <w:p>
      <w:pPr>
        <w:ind w:firstLine="560" w:firstLineChars="200"/>
        <w:jc w:val="left"/>
        <w:rPr>
          <w:rFonts w:ascii="宋体" w:hAnsi="宋体" w:cs="宋体"/>
          <w:bCs/>
          <w:sz w:val="28"/>
          <w:szCs w:val="28"/>
        </w:rPr>
      </w:pPr>
      <w:r>
        <w:rPr>
          <w:rFonts w:hint="eastAsia" w:ascii="宋体" w:hAnsi="宋体" w:cs="宋体"/>
          <w:bCs/>
          <w:sz w:val="28"/>
          <w:szCs w:val="28"/>
        </w:rPr>
        <w:t>6.4.6乙方人员入厂标准</w:t>
      </w:r>
    </w:p>
    <w:p>
      <w:pPr>
        <w:jc w:val="left"/>
        <w:rPr>
          <w:rFonts w:ascii="宋体" w:hAnsi="宋体" w:cs="宋体"/>
          <w:bCs/>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 1 \* GB3 </w:instrText>
      </w:r>
      <w:r>
        <w:rPr>
          <w:rFonts w:hint="eastAsia" w:ascii="宋体" w:hAnsi="宋体" w:cs="宋体"/>
          <w:bCs/>
          <w:sz w:val="28"/>
          <w:szCs w:val="28"/>
        </w:rPr>
        <w:fldChar w:fldCharType="separate"/>
      </w:r>
      <w:r>
        <w:rPr>
          <w:rFonts w:hint="eastAsia" w:ascii="宋体" w:hAnsi="宋体" w:cs="宋体"/>
          <w:bCs/>
          <w:sz w:val="28"/>
          <w:szCs w:val="28"/>
        </w:rPr>
        <w:t>①</w:t>
      </w:r>
      <w:r>
        <w:rPr>
          <w:rFonts w:hint="eastAsia" w:ascii="宋体" w:hAnsi="宋体" w:cs="宋体"/>
          <w:bCs/>
          <w:sz w:val="28"/>
          <w:szCs w:val="28"/>
        </w:rPr>
        <w:fldChar w:fldCharType="end"/>
      </w:r>
      <w:r>
        <w:rPr>
          <w:rFonts w:hint="eastAsia" w:ascii="宋体" w:hAnsi="宋体" w:cs="宋体"/>
          <w:bCs/>
          <w:sz w:val="28"/>
          <w:szCs w:val="28"/>
        </w:rPr>
        <w:t>从业人员除技术人员和管理人员外（技术人员和管理人员应 65 周岁以下，身体健康），进入生产区域的从业人员年龄限制为：男 60 周岁以下，女 55 周岁以下。严禁招用童工。所有人员入厂须遵守青特钢相关制度办理人脸识别，刷脸入厂。</w:t>
      </w:r>
    </w:p>
    <w:p>
      <w:pPr>
        <w:jc w:val="left"/>
        <w:rPr>
          <w:rFonts w:ascii="宋体" w:hAnsi="宋体" w:cs="宋体"/>
          <w:bCs/>
          <w:sz w:val="28"/>
          <w:szCs w:val="28"/>
        </w:rPr>
      </w:pPr>
      <w:r>
        <w:rPr>
          <w:rFonts w:hint="eastAsia" w:ascii="宋体" w:hAnsi="宋体" w:cs="宋体"/>
          <w:bCs/>
          <w:sz w:val="28"/>
          <w:szCs w:val="28"/>
        </w:rPr>
        <w:fldChar w:fldCharType="begin"/>
      </w:r>
      <w:r>
        <w:rPr>
          <w:rFonts w:hint="eastAsia" w:ascii="宋体" w:hAnsi="宋体" w:cs="宋体"/>
          <w:bCs/>
          <w:sz w:val="28"/>
          <w:szCs w:val="28"/>
        </w:rPr>
        <w:instrText xml:space="preserve"> = 2 \* GB3 </w:instrText>
      </w:r>
      <w:r>
        <w:rPr>
          <w:rFonts w:hint="eastAsia" w:ascii="宋体" w:hAnsi="宋体" w:cs="宋体"/>
          <w:bCs/>
          <w:sz w:val="28"/>
          <w:szCs w:val="28"/>
        </w:rPr>
        <w:fldChar w:fldCharType="separate"/>
      </w:r>
      <w:r>
        <w:rPr>
          <w:rFonts w:hint="eastAsia" w:ascii="宋体" w:hAnsi="宋体" w:cs="宋体"/>
          <w:bCs/>
          <w:sz w:val="28"/>
          <w:szCs w:val="28"/>
        </w:rPr>
        <w:t>②</w:t>
      </w:r>
      <w:r>
        <w:rPr>
          <w:rFonts w:hint="eastAsia" w:ascii="宋体" w:hAnsi="宋体" w:cs="宋体"/>
          <w:bCs/>
          <w:sz w:val="28"/>
          <w:szCs w:val="28"/>
        </w:rPr>
        <w:fldChar w:fldCharType="end"/>
      </w:r>
      <w:r>
        <w:rPr>
          <w:rFonts w:hint="eastAsia" w:ascii="宋体" w:hAnsi="宋体" w:cs="宋体"/>
          <w:bCs/>
          <w:sz w:val="28"/>
          <w:szCs w:val="28"/>
        </w:rPr>
        <w:t>从业人员应提供县级或以上医院体检报告（半年内有效）、工伤保险或意外保险投保票据等。</w:t>
      </w:r>
    </w:p>
    <w:p>
      <w:pPr>
        <w:jc w:val="left"/>
        <w:rPr>
          <w:rFonts w:ascii="宋体" w:hAnsi="宋体" w:cs="宋体"/>
          <w:bCs/>
          <w:sz w:val="28"/>
          <w:szCs w:val="28"/>
        </w:rPr>
      </w:pPr>
      <w:r>
        <w:rPr>
          <w:rFonts w:hint="eastAsia" w:ascii="宋体" w:hAnsi="宋体" w:cs="宋体"/>
          <w:bCs/>
          <w:sz w:val="28"/>
          <w:szCs w:val="28"/>
        </w:rPr>
        <w:t>前款约定违约金范围的，甲方有权确定具体金额，乙方对此无异议。</w:t>
      </w:r>
    </w:p>
    <w:p>
      <w:pPr>
        <w:ind w:firstLine="560" w:firstLineChars="200"/>
        <w:jc w:val="left"/>
        <w:rPr>
          <w:rFonts w:ascii="宋体" w:hAnsi="宋体" w:cs="宋体"/>
          <w:bCs/>
          <w:sz w:val="28"/>
          <w:szCs w:val="28"/>
        </w:rPr>
      </w:pPr>
      <w:r>
        <w:rPr>
          <w:rFonts w:hint="eastAsia" w:ascii="宋体" w:hAnsi="宋体" w:cs="宋体"/>
          <w:bCs/>
          <w:sz w:val="28"/>
          <w:szCs w:val="28"/>
        </w:rPr>
        <w:t>6.5如在项目施工过程中发生安全事故给甲方、乙方或任何第三方造成的人身伤害及财产损害的，由此产生的责任均由乙方承担，如因此给甲方造成损失（包括但不限于行政处罚及第三方索赔）的，乙方应据实赔偿。</w:t>
      </w:r>
    </w:p>
    <w:p>
      <w:pPr>
        <w:ind w:firstLine="560" w:firstLineChars="200"/>
        <w:jc w:val="left"/>
        <w:rPr>
          <w:rFonts w:ascii="宋体" w:hAnsi="宋体" w:cs="宋体"/>
          <w:bCs/>
          <w:sz w:val="28"/>
          <w:szCs w:val="28"/>
        </w:rPr>
      </w:pPr>
      <w:r>
        <w:rPr>
          <w:rFonts w:hint="eastAsia" w:ascii="宋体" w:hAnsi="宋体" w:cs="宋体"/>
          <w:bCs/>
          <w:sz w:val="28"/>
          <w:szCs w:val="28"/>
        </w:rPr>
        <w:t>6.6乙方必须为从事作业的职工进行体检，体检合格的方可准予从事施工作业。</w:t>
      </w:r>
    </w:p>
    <w:p>
      <w:pPr>
        <w:pStyle w:val="3"/>
        <w:ind w:firstLine="560" w:firstLineChars="200"/>
        <w:rPr>
          <w:rFonts w:ascii="宋体" w:hAnsi="宋体" w:cs="宋体"/>
          <w:u w:val="single"/>
        </w:rPr>
      </w:pPr>
      <w:r>
        <w:rPr>
          <w:rFonts w:hint="eastAsia" w:ascii="宋体" w:hAnsi="宋体" w:cs="宋体"/>
          <w:bCs/>
          <w:sz w:val="28"/>
          <w:szCs w:val="28"/>
        </w:rPr>
        <w:t>6.7</w:t>
      </w:r>
      <w:r>
        <w:rPr>
          <w:rFonts w:hint="eastAsia" w:ascii="宋体" w:hAnsi="宋体" w:cs="宋体"/>
          <w:bCs/>
          <w:sz w:val="28"/>
          <w:szCs w:val="28"/>
          <w:u w:val="single"/>
        </w:rPr>
        <w:t>工程施工区域在煤气区域，工程涉及电工、起重指挥、煤气、电焊、高空、脚手架搭设等特种作业，施工作业人员均必须持证上岗。</w:t>
      </w:r>
    </w:p>
    <w:p>
      <w:pPr>
        <w:ind w:firstLine="560" w:firstLineChars="200"/>
        <w:jc w:val="left"/>
        <w:rPr>
          <w:rFonts w:ascii="宋体" w:hAnsi="宋体" w:cs="宋体"/>
          <w:bCs/>
          <w:sz w:val="28"/>
          <w:szCs w:val="28"/>
        </w:rPr>
      </w:pPr>
      <w:r>
        <w:rPr>
          <w:rFonts w:hint="eastAsia" w:ascii="宋体" w:hAnsi="宋体" w:cs="宋体"/>
          <w:bCs/>
          <w:sz w:val="28"/>
          <w:szCs w:val="28"/>
        </w:rPr>
        <w:t>7、能源介质计量及特殊说明：</w:t>
      </w:r>
    </w:p>
    <w:p>
      <w:pPr>
        <w:ind w:firstLine="560" w:firstLineChars="200"/>
        <w:jc w:val="left"/>
        <w:rPr>
          <w:rFonts w:ascii="宋体" w:hAnsi="宋体" w:cs="宋体"/>
          <w:bCs/>
          <w:sz w:val="28"/>
          <w:szCs w:val="28"/>
        </w:rPr>
      </w:pPr>
      <w:r>
        <w:rPr>
          <w:rFonts w:hint="eastAsia" w:ascii="宋体" w:hAnsi="宋体" w:cs="宋体"/>
          <w:bCs/>
          <w:sz w:val="28"/>
          <w:szCs w:val="28"/>
        </w:rPr>
        <w:t>施工现场用电、用水的费用由甲方承担，乙方按照甲方指定地点自备相关设备、材料接驳（相关设备、材料费用由乙方承担）。</w:t>
      </w:r>
    </w:p>
    <w:p>
      <w:pPr>
        <w:ind w:firstLine="560" w:firstLineChars="200"/>
        <w:jc w:val="left"/>
        <w:rPr>
          <w:rFonts w:ascii="宋体" w:hAnsi="宋体" w:cs="宋体"/>
          <w:bCs/>
          <w:sz w:val="28"/>
          <w:szCs w:val="28"/>
        </w:rPr>
      </w:pPr>
      <w:r>
        <w:rPr>
          <w:rFonts w:hint="eastAsia" w:ascii="宋体" w:hAnsi="宋体" w:cs="宋体"/>
          <w:bCs/>
          <w:sz w:val="28"/>
          <w:szCs w:val="28"/>
        </w:rPr>
        <w:t>8、材料、设备进场的卸运、看护：</w:t>
      </w:r>
    </w:p>
    <w:p>
      <w:pPr>
        <w:snapToGrid w:val="0"/>
        <w:spacing w:line="360" w:lineRule="auto"/>
        <w:ind w:firstLine="560" w:firstLineChars="200"/>
        <w:jc w:val="left"/>
        <w:rPr>
          <w:rFonts w:ascii="宋体" w:hAnsi="宋体" w:cs="宋体"/>
          <w:bCs/>
          <w:sz w:val="28"/>
          <w:szCs w:val="28"/>
        </w:rPr>
      </w:pPr>
      <w:r>
        <w:rPr>
          <w:rFonts w:hint="eastAsia" w:ascii="宋体" w:hAnsi="宋体" w:cs="宋体"/>
          <w:bCs/>
          <w:sz w:val="28"/>
          <w:szCs w:val="28"/>
        </w:rPr>
        <w:t>本工程承包范围内所有材料进场后的卸运，卸运车辆、人工由乙方负责，材料及卸运车辆的看护、保管由乙方负责，施工用吊机、运输车辆以及叉车等由乙方负责，乙方负责脚手架材料租赁及运输、搭建和拆除，同时要求乙方搭脚手架人员必须有相应的施工资质，施工过程中使用到的各类工器具、氧气、乙炔、二氧化碳、氩气等均由乙方负责提供。</w:t>
      </w:r>
    </w:p>
    <w:p>
      <w:pPr>
        <w:snapToGrid w:val="0"/>
        <w:spacing w:line="360" w:lineRule="auto"/>
        <w:ind w:firstLine="560" w:firstLineChars="200"/>
        <w:jc w:val="left"/>
        <w:rPr>
          <w:rFonts w:ascii="宋体" w:hAnsi="宋体" w:cs="宋体"/>
          <w:bCs/>
          <w:sz w:val="28"/>
          <w:szCs w:val="28"/>
        </w:rPr>
      </w:pPr>
      <w:r>
        <w:rPr>
          <w:rFonts w:hint="eastAsia" w:ascii="宋体" w:hAnsi="宋体" w:cs="宋体"/>
          <w:bCs/>
          <w:sz w:val="28"/>
          <w:szCs w:val="28"/>
        </w:rPr>
        <w:t>乙方须保证大宗物资运输车辆达到国六及以上排放标准（含燃气）或新能源车辆，并建立台账。</w:t>
      </w:r>
    </w:p>
    <w:p>
      <w:pPr>
        <w:adjustRightInd w:val="0"/>
        <w:snapToGrid w:val="0"/>
        <w:spacing w:line="360" w:lineRule="auto"/>
        <w:ind w:firstLine="560" w:firstLineChars="200"/>
        <w:rPr>
          <w:rFonts w:ascii="宋体" w:hAnsi="宋体" w:cs="宋体"/>
          <w:kern w:val="0"/>
          <w:sz w:val="28"/>
          <w:szCs w:val="28"/>
        </w:rPr>
      </w:pPr>
      <w:r>
        <w:rPr>
          <w:rFonts w:hint="eastAsia" w:ascii="宋体" w:hAnsi="宋体" w:cs="宋体"/>
          <w:bCs/>
          <w:sz w:val="28"/>
          <w:szCs w:val="28"/>
        </w:rPr>
        <w:t>乙方须保证非道路移动机械和吸排车等特种运输机械全部达到国三及以上排放标准并喷涂环保码或使用新能源机械，且所使用的非道路移动机械全部完成编码登记，并建立台账。同时加强维护管理，确保机械不冒黑烟。</w:t>
      </w:r>
    </w:p>
    <w:p>
      <w:pPr>
        <w:pStyle w:val="6"/>
        <w:shd w:val="clear" w:color="auto" w:fill="FFFFFF"/>
        <w:snapToGrid w:val="0"/>
        <w:spacing w:before="150" w:after="150"/>
        <w:ind w:left="630"/>
        <w:rPr>
          <w:rFonts w:cs="宋体"/>
          <w:bCs/>
          <w:kern w:val="2"/>
          <w:sz w:val="28"/>
          <w:szCs w:val="28"/>
        </w:rPr>
      </w:pPr>
      <w:r>
        <w:rPr>
          <w:rFonts w:hint="eastAsia" w:cs="宋体"/>
          <w:bCs/>
          <w:kern w:val="2"/>
          <w:sz w:val="28"/>
          <w:szCs w:val="28"/>
        </w:rPr>
        <w:t>9、职责分工</w:t>
      </w:r>
    </w:p>
    <w:p>
      <w:pPr>
        <w:pStyle w:val="6"/>
        <w:shd w:val="clear" w:color="auto" w:fill="FFFFFF"/>
        <w:snapToGrid w:val="0"/>
        <w:spacing w:before="150" w:after="150"/>
        <w:ind w:firstLine="1120" w:firstLineChars="400"/>
        <w:rPr>
          <w:rFonts w:cs="宋体"/>
          <w:bCs/>
          <w:kern w:val="2"/>
          <w:sz w:val="28"/>
          <w:szCs w:val="28"/>
        </w:rPr>
      </w:pPr>
      <w:r>
        <w:rPr>
          <w:rFonts w:hint="eastAsia" w:cs="宋体"/>
          <w:bCs/>
          <w:kern w:val="2"/>
          <w:sz w:val="28"/>
          <w:szCs w:val="28"/>
        </w:rPr>
        <w:t>甲方职责：只负责提供包覆用耐酸钢板（厚度8mm）及施工用水用电。</w:t>
      </w:r>
    </w:p>
    <w:p>
      <w:pPr>
        <w:pStyle w:val="6"/>
        <w:shd w:val="clear" w:color="auto" w:fill="FFFFFF"/>
        <w:snapToGrid w:val="0"/>
        <w:spacing w:before="150" w:after="150" w:line="360" w:lineRule="auto"/>
        <w:ind w:firstLine="1120" w:firstLineChars="400"/>
        <w:rPr>
          <w:rFonts w:cs="宋体"/>
          <w:bCs/>
          <w:kern w:val="2"/>
          <w:sz w:val="28"/>
          <w:szCs w:val="28"/>
        </w:rPr>
      </w:pPr>
      <w:r>
        <w:rPr>
          <w:rFonts w:hint="eastAsia" w:cs="宋体"/>
          <w:bCs/>
          <w:kern w:val="2"/>
          <w:sz w:val="28"/>
          <w:szCs w:val="28"/>
        </w:rPr>
        <w:t>乙方职责：</w:t>
      </w:r>
    </w:p>
    <w:p>
      <w:pPr>
        <w:pStyle w:val="6"/>
        <w:shd w:val="clear" w:color="auto" w:fill="FFFFFF"/>
        <w:snapToGrid w:val="0"/>
        <w:spacing w:before="150" w:after="150" w:line="360" w:lineRule="auto"/>
        <w:ind w:firstLine="1120" w:firstLineChars="400"/>
        <w:rPr>
          <w:rFonts w:cs="宋体"/>
          <w:bCs/>
          <w:kern w:val="2"/>
          <w:sz w:val="28"/>
          <w:szCs w:val="28"/>
        </w:rPr>
      </w:pPr>
      <w:r>
        <w:rPr>
          <w:rFonts w:hint="eastAsia" w:cs="宋体"/>
          <w:bCs/>
          <w:kern w:val="2"/>
          <w:sz w:val="28"/>
          <w:szCs w:val="28"/>
        </w:rPr>
        <w:t>（1）搭建施工脚手架（包括材料租赁、运输等）；</w:t>
      </w:r>
    </w:p>
    <w:p>
      <w:pPr>
        <w:pStyle w:val="6"/>
        <w:shd w:val="clear" w:color="auto" w:fill="FFFFFF"/>
        <w:snapToGrid w:val="0"/>
        <w:spacing w:before="150" w:after="150" w:line="360" w:lineRule="auto"/>
        <w:ind w:firstLine="1120" w:firstLineChars="400"/>
        <w:rPr>
          <w:rFonts w:cs="宋体"/>
          <w:bCs/>
          <w:kern w:val="2"/>
          <w:sz w:val="28"/>
          <w:szCs w:val="28"/>
        </w:rPr>
      </w:pPr>
      <w:r>
        <w:rPr>
          <w:rFonts w:hint="eastAsia" w:cs="宋体"/>
          <w:bCs/>
          <w:kern w:val="2"/>
          <w:sz w:val="28"/>
          <w:szCs w:val="28"/>
        </w:rPr>
        <w:t>（2）物料倒运、下料、卷板、安装及检漏；</w:t>
      </w:r>
    </w:p>
    <w:p>
      <w:pPr>
        <w:pStyle w:val="6"/>
        <w:shd w:val="clear" w:color="auto" w:fill="FFFFFF"/>
        <w:snapToGrid w:val="0"/>
        <w:spacing w:before="150" w:after="150" w:line="360" w:lineRule="auto"/>
        <w:ind w:firstLine="1120" w:firstLineChars="400"/>
        <w:rPr>
          <w:rFonts w:cs="宋体"/>
          <w:bCs/>
          <w:kern w:val="2"/>
          <w:sz w:val="28"/>
          <w:szCs w:val="28"/>
        </w:rPr>
      </w:pPr>
      <w:r>
        <w:rPr>
          <w:rFonts w:hint="eastAsia" w:cs="宋体"/>
          <w:bCs/>
          <w:kern w:val="2"/>
          <w:sz w:val="28"/>
          <w:szCs w:val="28"/>
        </w:rPr>
        <w:t>（3）防腐刷漆：内表面两遍底漆，外表面一底一中两面；</w:t>
      </w:r>
    </w:p>
    <w:p>
      <w:pPr>
        <w:pStyle w:val="6"/>
        <w:shd w:val="clear" w:color="auto" w:fill="FFFFFF"/>
        <w:snapToGrid w:val="0"/>
        <w:spacing w:before="150" w:after="150" w:line="360" w:lineRule="auto"/>
        <w:ind w:firstLine="1120" w:firstLineChars="400"/>
        <w:rPr>
          <w:rFonts w:cs="宋体"/>
          <w:sz w:val="28"/>
          <w:szCs w:val="28"/>
        </w:rPr>
      </w:pPr>
      <w:r>
        <w:rPr>
          <w:rFonts w:hint="eastAsia" w:cs="宋体"/>
          <w:bCs/>
          <w:kern w:val="2"/>
          <w:sz w:val="28"/>
          <w:szCs w:val="28"/>
        </w:rPr>
        <w:t>（4）乙方负责提供氧气、乙炔、焊条、油漆等辅材和施工工具，施工所需所有相关车辆如吊车、运输车辆等。</w:t>
      </w:r>
    </w:p>
    <w:p>
      <w:pPr>
        <w:jc w:val="left"/>
        <w:rPr>
          <w:rFonts w:ascii="宋体" w:hAnsi="宋体" w:cs="宋体"/>
          <w:b/>
          <w:sz w:val="28"/>
          <w:szCs w:val="28"/>
        </w:rPr>
      </w:pPr>
      <w:r>
        <w:rPr>
          <w:rFonts w:hint="eastAsia" w:ascii="宋体" w:hAnsi="宋体" w:cs="宋体"/>
          <w:b/>
          <w:sz w:val="28"/>
          <w:szCs w:val="28"/>
        </w:rPr>
        <w:t>五、其它</w:t>
      </w:r>
    </w:p>
    <w:p>
      <w:pPr>
        <w:ind w:firstLine="560" w:firstLineChars="200"/>
        <w:rPr>
          <w:rFonts w:ascii="宋体" w:hAnsi="宋体" w:cs="宋体"/>
          <w:position w:val="-2"/>
          <w:sz w:val="28"/>
          <w:szCs w:val="28"/>
        </w:rPr>
      </w:pPr>
      <w:r>
        <w:rPr>
          <w:rFonts w:hint="eastAsia" w:ascii="宋体" w:hAnsi="宋体" w:cs="宋体"/>
          <w:position w:val="-2"/>
          <w:sz w:val="28"/>
          <w:szCs w:val="28"/>
        </w:rPr>
        <w:t>1、本协议作为商务合同的一部分，与商务合同具有相同的法律效力。</w:t>
      </w:r>
    </w:p>
    <w:p>
      <w:pPr>
        <w:ind w:firstLine="560" w:firstLineChars="200"/>
        <w:rPr>
          <w:rFonts w:ascii="宋体" w:hAnsi="宋体" w:cs="宋体"/>
          <w:position w:val="-2"/>
          <w:sz w:val="28"/>
          <w:szCs w:val="28"/>
        </w:rPr>
      </w:pPr>
      <w:r>
        <w:rPr>
          <w:rFonts w:hint="eastAsia" w:ascii="宋体" w:hAnsi="宋体" w:cs="宋体"/>
          <w:position w:val="-2"/>
          <w:sz w:val="28"/>
          <w:szCs w:val="28"/>
        </w:rPr>
        <w:t>2、上协议未尽事宜，双方本着友好合作的精神协商解决，如协商不成则依据法律处理。</w:t>
      </w:r>
    </w:p>
    <w:p>
      <w:pPr>
        <w:ind w:firstLine="560" w:firstLineChars="200"/>
        <w:rPr>
          <w:rFonts w:ascii="宋体" w:hAnsi="宋体" w:cs="宋体"/>
          <w:position w:val="-2"/>
          <w:sz w:val="28"/>
          <w:szCs w:val="28"/>
        </w:rPr>
      </w:pPr>
      <w:r>
        <w:rPr>
          <w:rFonts w:hint="eastAsia" w:ascii="宋体" w:hAnsi="宋体" w:cs="宋体"/>
          <w:position w:val="-2"/>
          <w:sz w:val="28"/>
          <w:szCs w:val="28"/>
        </w:rPr>
        <w:t>3、甲乙双方都有为对方保守生产、技术及资料秘密的义务，不得以任何理由向第三方泄漏，否则违约方应承担相应责任。</w:t>
      </w:r>
    </w:p>
    <w:p>
      <w:pPr>
        <w:ind w:firstLine="560" w:firstLineChars="200"/>
        <w:rPr>
          <w:rFonts w:ascii="宋体" w:hAnsi="宋体" w:cs="宋体"/>
          <w:sz w:val="28"/>
          <w:szCs w:val="28"/>
        </w:rPr>
      </w:pPr>
      <w:r>
        <w:rPr>
          <w:rFonts w:hint="eastAsia" w:ascii="宋体" w:hAnsi="宋体" w:cs="宋体"/>
          <w:position w:val="-2"/>
          <w:sz w:val="28"/>
          <w:szCs w:val="28"/>
        </w:rPr>
        <w:t>4、本协议一式三份，甲方两份、乙方一份。</w:t>
      </w:r>
    </w:p>
    <w:p>
      <w:pPr>
        <w:jc w:val="center"/>
        <w:rPr>
          <w:rFonts w:ascii="宋体" w:hAnsi="宋体" w:cs="宋体"/>
          <w:sz w:val="28"/>
          <w:szCs w:val="28"/>
        </w:rPr>
      </w:pPr>
      <w:r>
        <w:rPr>
          <w:rFonts w:hint="eastAsia" w:ascii="宋体" w:hAnsi="宋体" w:cs="宋体"/>
          <w:sz w:val="28"/>
          <w:szCs w:val="28"/>
        </w:rPr>
        <w:t>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809"/>
        <w:gridCol w:w="991"/>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784" w:type="dxa"/>
            <w:gridSpan w:val="2"/>
          </w:tcPr>
          <w:p>
            <w:pPr>
              <w:spacing w:line="192" w:lineRule="auto"/>
              <w:rPr>
                <w:rFonts w:ascii="仿宋" w:hAnsi="仿宋" w:eastAsia="仿宋"/>
                <w:sz w:val="28"/>
                <w:szCs w:val="28"/>
              </w:rPr>
            </w:pPr>
            <w:r>
              <w:rPr>
                <w:rFonts w:hint="eastAsia" w:ascii="仿宋" w:hAnsi="仿宋" w:eastAsia="仿宋"/>
                <w:sz w:val="28"/>
                <w:szCs w:val="28"/>
              </w:rPr>
              <w:t>甲方：</w:t>
            </w:r>
          </w:p>
        </w:tc>
        <w:tc>
          <w:tcPr>
            <w:tcW w:w="4786" w:type="dxa"/>
            <w:gridSpan w:val="2"/>
          </w:tcPr>
          <w:p>
            <w:pPr>
              <w:spacing w:line="192" w:lineRule="auto"/>
              <w:rPr>
                <w:rFonts w:ascii="仿宋" w:hAnsi="仿宋" w:eastAsia="仿宋"/>
                <w:sz w:val="28"/>
                <w:szCs w:val="28"/>
              </w:rPr>
            </w:pPr>
            <w:r>
              <w:rPr>
                <w:rFonts w:hint="eastAsia" w:ascii="仿宋" w:hAnsi="仿宋" w:eastAsia="仿宋"/>
                <w:sz w:val="28"/>
                <w:szCs w:val="28"/>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5" w:type="dxa"/>
            <w:vMerge w:val="restart"/>
            <w:vAlign w:val="center"/>
          </w:tcPr>
          <w:p>
            <w:pPr>
              <w:spacing w:line="192" w:lineRule="auto"/>
              <w:jc w:val="center"/>
              <w:rPr>
                <w:rFonts w:ascii="仿宋" w:hAnsi="仿宋" w:eastAsia="仿宋"/>
                <w:sz w:val="28"/>
                <w:szCs w:val="28"/>
              </w:rPr>
            </w:pPr>
            <w:r>
              <w:rPr>
                <w:rFonts w:hint="eastAsia" w:ascii="仿宋" w:hAnsi="仿宋" w:eastAsia="仿宋"/>
                <w:sz w:val="28"/>
                <w:szCs w:val="28"/>
              </w:rPr>
              <w:t>甲方代表</w:t>
            </w:r>
          </w:p>
        </w:tc>
        <w:tc>
          <w:tcPr>
            <w:tcW w:w="3809" w:type="dxa"/>
            <w:vAlign w:val="center"/>
          </w:tcPr>
          <w:p>
            <w:pPr>
              <w:spacing w:line="192" w:lineRule="auto"/>
              <w:rPr>
                <w:rFonts w:ascii="仿宋" w:hAnsi="仿宋" w:eastAsia="仿宋"/>
                <w:sz w:val="28"/>
                <w:szCs w:val="28"/>
              </w:rPr>
            </w:pPr>
            <w:r>
              <w:rPr>
                <w:rFonts w:hint="eastAsia" w:ascii="仿宋" w:hAnsi="仿宋" w:eastAsia="仿宋"/>
                <w:sz w:val="28"/>
                <w:szCs w:val="28"/>
              </w:rPr>
              <w:t>属地部门：</w:t>
            </w:r>
          </w:p>
        </w:tc>
        <w:tc>
          <w:tcPr>
            <w:tcW w:w="991" w:type="dxa"/>
            <w:vMerge w:val="restart"/>
            <w:vAlign w:val="center"/>
          </w:tcPr>
          <w:p>
            <w:pPr>
              <w:spacing w:line="192" w:lineRule="auto"/>
              <w:jc w:val="center"/>
              <w:rPr>
                <w:rFonts w:ascii="仿宋" w:hAnsi="仿宋" w:eastAsia="仿宋"/>
                <w:sz w:val="28"/>
                <w:szCs w:val="28"/>
              </w:rPr>
            </w:pPr>
            <w:r>
              <w:rPr>
                <w:rFonts w:hint="eastAsia" w:ascii="仿宋" w:hAnsi="仿宋" w:eastAsia="仿宋"/>
                <w:sz w:val="28"/>
                <w:szCs w:val="28"/>
              </w:rPr>
              <w:t>乙方代表</w:t>
            </w:r>
          </w:p>
        </w:tc>
        <w:tc>
          <w:tcPr>
            <w:tcW w:w="3795" w:type="dxa"/>
            <w:vMerge w:val="restart"/>
          </w:tcPr>
          <w:p>
            <w:pPr>
              <w:spacing w:line="192"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75" w:type="dxa"/>
            <w:vMerge w:val="continue"/>
          </w:tcPr>
          <w:p>
            <w:pPr>
              <w:spacing w:line="192" w:lineRule="auto"/>
              <w:rPr>
                <w:rFonts w:ascii="仿宋" w:hAnsi="仿宋" w:eastAsia="仿宋"/>
                <w:sz w:val="28"/>
                <w:szCs w:val="28"/>
              </w:rPr>
            </w:pPr>
          </w:p>
        </w:tc>
        <w:tc>
          <w:tcPr>
            <w:tcW w:w="3809" w:type="dxa"/>
            <w:vAlign w:val="center"/>
          </w:tcPr>
          <w:p>
            <w:pPr>
              <w:spacing w:line="192" w:lineRule="auto"/>
              <w:rPr>
                <w:rFonts w:ascii="仿宋" w:hAnsi="仿宋" w:eastAsia="仿宋"/>
                <w:sz w:val="28"/>
                <w:szCs w:val="28"/>
              </w:rPr>
            </w:pPr>
            <w:r>
              <w:rPr>
                <w:rFonts w:hint="eastAsia" w:ascii="仿宋" w:hAnsi="仿宋" w:eastAsia="仿宋"/>
                <w:sz w:val="28"/>
                <w:szCs w:val="28"/>
              </w:rPr>
              <w:t>装备部：</w:t>
            </w:r>
          </w:p>
        </w:tc>
        <w:tc>
          <w:tcPr>
            <w:tcW w:w="991" w:type="dxa"/>
            <w:vMerge w:val="continue"/>
          </w:tcPr>
          <w:p>
            <w:pPr>
              <w:spacing w:line="192" w:lineRule="auto"/>
              <w:rPr>
                <w:rFonts w:ascii="仿宋" w:hAnsi="仿宋" w:eastAsia="仿宋"/>
                <w:sz w:val="28"/>
                <w:szCs w:val="28"/>
              </w:rPr>
            </w:pPr>
          </w:p>
        </w:tc>
        <w:tc>
          <w:tcPr>
            <w:tcW w:w="3795" w:type="dxa"/>
            <w:vMerge w:val="continue"/>
          </w:tcPr>
          <w:p>
            <w:pPr>
              <w:spacing w:line="192" w:lineRule="auto"/>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4784" w:type="dxa"/>
            <w:gridSpan w:val="2"/>
          </w:tcPr>
          <w:p>
            <w:pPr>
              <w:spacing w:line="192" w:lineRule="auto"/>
              <w:rPr>
                <w:rFonts w:ascii="仿宋" w:hAnsi="仿宋" w:eastAsia="仿宋"/>
                <w:sz w:val="28"/>
                <w:szCs w:val="28"/>
              </w:rPr>
            </w:pPr>
            <w:r>
              <w:rPr>
                <w:rFonts w:hint="eastAsia" w:ascii="仿宋" w:hAnsi="仿宋" w:eastAsia="仿宋"/>
                <w:sz w:val="28"/>
                <w:szCs w:val="28"/>
              </w:rPr>
              <w:t>日期：</w:t>
            </w:r>
          </w:p>
        </w:tc>
        <w:tc>
          <w:tcPr>
            <w:tcW w:w="4786" w:type="dxa"/>
            <w:gridSpan w:val="2"/>
          </w:tcPr>
          <w:p>
            <w:pPr>
              <w:spacing w:line="192" w:lineRule="auto"/>
              <w:rPr>
                <w:rFonts w:ascii="仿宋" w:hAnsi="仿宋" w:eastAsia="仿宋"/>
                <w:sz w:val="28"/>
                <w:szCs w:val="28"/>
              </w:rPr>
            </w:pPr>
            <w:r>
              <w:rPr>
                <w:rFonts w:hint="eastAsia" w:ascii="仿宋" w:hAnsi="仿宋" w:eastAsia="仿宋"/>
                <w:sz w:val="28"/>
                <w:szCs w:val="28"/>
              </w:rPr>
              <w:t>日期：</w:t>
            </w:r>
          </w:p>
        </w:tc>
      </w:tr>
    </w:tbl>
    <w:p/>
    <w:sectPr>
      <w:headerReference r:id="rId3" w:type="default"/>
      <w:footerReference r:id="rId4" w:type="default"/>
      <w:pgSz w:w="11906" w:h="16838"/>
      <w:pgMar w:top="1474" w:right="868" w:bottom="680" w:left="9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60288" behindDoc="0" locked="0" layoutInCell="1" allowOverlap="1">
          <wp:simplePos x="0" y="0"/>
          <wp:positionH relativeFrom="column">
            <wp:posOffset>-601980</wp:posOffset>
          </wp:positionH>
          <wp:positionV relativeFrom="paragraph">
            <wp:posOffset>636270</wp:posOffset>
          </wp:positionV>
          <wp:extent cx="7578090" cy="144145"/>
          <wp:effectExtent l="0" t="0" r="3810" b="8255"/>
          <wp:wrapNone/>
          <wp:docPr id="3" name="图片 3" descr="资源 5@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5@8x"/>
                  <pic:cNvPicPr>
                    <a:picLocks noChangeAspect="1"/>
                  </pic:cNvPicPr>
                </pic:nvPicPr>
                <pic:blipFill>
                  <a:blip r:embed="rId1"/>
                  <a:stretch>
                    <a:fillRect/>
                  </a:stretch>
                </pic:blipFill>
                <pic:spPr>
                  <a:xfrm flipV="1">
                    <a:off x="0" y="0"/>
                    <a:ext cx="7578090" cy="14414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9264" behindDoc="0" locked="0" layoutInCell="1" allowOverlap="1">
          <wp:simplePos x="0" y="0"/>
          <wp:positionH relativeFrom="column">
            <wp:posOffset>15875</wp:posOffset>
          </wp:positionH>
          <wp:positionV relativeFrom="paragraph">
            <wp:posOffset>-125730</wp:posOffset>
          </wp:positionV>
          <wp:extent cx="3764280" cy="408940"/>
          <wp:effectExtent l="0" t="0" r="7620" b="10160"/>
          <wp:wrapNone/>
          <wp:docPr id="2"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94570"/>
    <w:multiLevelType w:val="singleLevel"/>
    <w:tmpl w:val="8A094570"/>
    <w:lvl w:ilvl="0" w:tentative="0">
      <w:start w:val="1"/>
      <w:numFmt w:val="chineseCounting"/>
      <w:suff w:val="nothing"/>
      <w:lvlText w:val="（%1）"/>
      <w:lvlJc w:val="left"/>
      <w:rPr>
        <w:rFonts w:hint="eastAsia"/>
      </w:rPr>
    </w:lvl>
  </w:abstractNum>
  <w:abstractNum w:abstractNumId="1">
    <w:nsid w:val="C4460FF0"/>
    <w:multiLevelType w:val="singleLevel"/>
    <w:tmpl w:val="C4460FF0"/>
    <w:lvl w:ilvl="0" w:tentative="0">
      <w:start w:val="2"/>
      <w:numFmt w:val="chineseCounting"/>
      <w:suff w:val="nothing"/>
      <w:lvlText w:val="%1、"/>
      <w:lvlJc w:val="left"/>
      <w:rPr>
        <w:rFonts w:hint="eastAsia"/>
      </w:rPr>
    </w:lvl>
  </w:abstractNum>
  <w:abstractNum w:abstractNumId="2">
    <w:nsid w:val="00000001"/>
    <w:multiLevelType w:val="multilevel"/>
    <w:tmpl w:val="00000001"/>
    <w:lvl w:ilvl="0" w:tentative="0">
      <w:start w:val="1"/>
      <w:numFmt w:val="decimal"/>
      <w:suff w:val="space"/>
      <w:lvlText w:val="%1"/>
      <w:lvlJc w:val="left"/>
      <w:pPr>
        <w:ind w:left="432" w:hanging="432"/>
      </w:pPr>
      <w:rPr>
        <w:rFonts w:hint="default" w:ascii="Times New Roman" w:hAnsi="Times New Roman"/>
        <w:sz w:val="32"/>
      </w:rPr>
    </w:lvl>
    <w:lvl w:ilvl="1" w:tentative="0">
      <w:start w:val="1"/>
      <w:numFmt w:val="decimal"/>
      <w:pStyle w:val="2"/>
      <w:suff w:val="space"/>
      <w:lvlText w:val="%1.%2"/>
      <w:lvlJc w:val="left"/>
      <w:pPr>
        <w:ind w:left="567" w:hanging="567"/>
      </w:pPr>
      <w:rPr>
        <w:rFonts w:hint="default" w:ascii="Times New Roman" w:hAnsi="Times New Roman"/>
        <w:sz w:val="28"/>
      </w:rPr>
    </w:lvl>
    <w:lvl w:ilvl="2" w:tentative="0">
      <w:start w:val="1"/>
      <w:numFmt w:val="decimal"/>
      <w:suff w:val="space"/>
      <w:lvlText w:val="%1.%2.%3"/>
      <w:lvlJc w:val="left"/>
      <w:pPr>
        <w:ind w:left="567" w:hanging="567"/>
      </w:pPr>
      <w:rPr>
        <w:rFonts w:hint="default" w:ascii="Times New Roman" w:hAnsi="Times New Roman"/>
        <w:sz w:val="28"/>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4E18AD5"/>
    <w:multiLevelType w:val="singleLevel"/>
    <w:tmpl w:val="14E18AD5"/>
    <w:lvl w:ilvl="0" w:tentative="0">
      <w:start w:val="1"/>
      <w:numFmt w:val="decimal"/>
      <w:lvlText w:val="%1."/>
      <w:lvlJc w:val="left"/>
      <w:pPr>
        <w:tabs>
          <w:tab w:val="left" w:pos="312"/>
        </w:tabs>
      </w:pPr>
    </w:lvl>
  </w:abstractNum>
  <w:abstractNum w:abstractNumId="4">
    <w:nsid w:val="5CC42CCF"/>
    <w:multiLevelType w:val="singleLevel"/>
    <w:tmpl w:val="5CC42CCF"/>
    <w:lvl w:ilvl="0" w:tentative="0">
      <w:start w:val="1"/>
      <w:numFmt w:val="decimal"/>
      <w:suff w:val="nothing"/>
      <w:lvlText w:val="%1、"/>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MTUxN2Y5ZTMxZTdiZDRkNzYwZGY1ZTkyNjUwMGYifQ=="/>
  </w:docVars>
  <w:rsids>
    <w:rsidRoot w:val="02CC5B6D"/>
    <w:rsid w:val="004C5DAB"/>
    <w:rsid w:val="00576551"/>
    <w:rsid w:val="0068068E"/>
    <w:rsid w:val="006A4B52"/>
    <w:rsid w:val="008A0259"/>
    <w:rsid w:val="009128DF"/>
    <w:rsid w:val="00C603D2"/>
    <w:rsid w:val="00D146D9"/>
    <w:rsid w:val="02CC5B6D"/>
    <w:rsid w:val="1CED4498"/>
    <w:rsid w:val="2432737E"/>
    <w:rsid w:val="2B9E399D"/>
    <w:rsid w:val="3CFA08B8"/>
    <w:rsid w:val="498914F6"/>
    <w:rsid w:val="4E2C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tabs>
        <w:tab w:val="center" w:pos="6804"/>
        <w:tab w:val="right" w:pos="7371"/>
      </w:tabs>
      <w:overflowPunct w:val="0"/>
      <w:adjustRightInd w:val="0"/>
      <w:spacing w:line="360" w:lineRule="auto"/>
      <w:textAlignment w:val="baseline"/>
      <w:outlineLvl w:val="1"/>
    </w:pPr>
    <w:rPr>
      <w:b/>
      <w:kern w:val="0"/>
      <w:sz w:val="28"/>
      <w:szCs w:val="20"/>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5034</Words>
  <Characters>5337</Characters>
  <Lines>2</Lines>
  <Paragraphs>1</Paragraphs>
  <TotalTime>2</TotalTime>
  <ScaleCrop>false</ScaleCrop>
  <LinksUpToDate>false</LinksUpToDate>
  <CharactersWithSpaces>5360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1</cp:lastModifiedBy>
  <dcterms:modified xsi:type="dcterms:W3CDTF">2023-08-10T04:55:17Z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B960D3B6F1BF4621BCCF5419185FAF34_13</vt:lpwstr>
  </property>
</Properties>
</file>